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1B69" w:rsidRPr="00D222CD" w:rsidRDefault="00171B69" w:rsidP="00171B69">
      <w:pPr>
        <w:rPr>
          <w:rFonts w:cs="Arial"/>
          <w:b/>
          <w:bCs/>
          <w:sz w:val="22"/>
          <w:szCs w:val="22"/>
          <w:lang w:val="fr-FR"/>
        </w:rPr>
      </w:pPr>
    </w:p>
    <w:p w:rsidR="00171B69" w:rsidRDefault="00171B69" w:rsidP="00171B69">
      <w:pPr>
        <w:pStyle w:val="Heading2"/>
        <w:jc w:val="both"/>
        <w:rPr>
          <w:rFonts w:ascii="Times New Roman" w:hAnsi="Times New Roman"/>
          <w:b/>
          <w:sz w:val="24"/>
          <w:szCs w:val="24"/>
          <w:u w:val="single"/>
          <w:lang w:val="it-IT"/>
        </w:rPr>
      </w:pPr>
      <w:r>
        <w:rPr>
          <w:rFonts w:ascii="Times New Roman" w:hAnsi="Times New Roman"/>
          <w:b/>
          <w:sz w:val="24"/>
          <w:szCs w:val="24"/>
          <w:u w:val="single"/>
          <w:lang w:val="it-IT"/>
        </w:rPr>
        <w:t xml:space="preserve">NOTA </w:t>
      </w:r>
      <w:r w:rsidRPr="00BC5E20">
        <w:rPr>
          <w:rFonts w:ascii="Times New Roman" w:hAnsi="Times New Roman"/>
          <w:b/>
          <w:sz w:val="24"/>
          <w:szCs w:val="24"/>
          <w:u w:val="single"/>
          <w:lang w:val="it-IT"/>
        </w:rPr>
        <w:t xml:space="preserve"> </w:t>
      </w:r>
      <w:r>
        <w:rPr>
          <w:rFonts w:ascii="Times New Roman" w:hAnsi="Times New Roman"/>
          <w:b/>
          <w:sz w:val="24"/>
          <w:szCs w:val="24"/>
          <w:u w:val="single"/>
          <w:lang w:val="it-IT"/>
        </w:rPr>
        <w:t>6</w:t>
      </w:r>
    </w:p>
    <w:p w:rsidR="00171B69" w:rsidRPr="00162292" w:rsidRDefault="00171B69" w:rsidP="00171B69">
      <w:pPr>
        <w:rPr>
          <w:lang w:val="it-IT"/>
        </w:rPr>
      </w:pPr>
    </w:p>
    <w:p w:rsidR="00171B69" w:rsidRDefault="00171B69" w:rsidP="00171B69">
      <w:pPr>
        <w:pStyle w:val="Heading2"/>
        <w:jc w:val="both"/>
        <w:rPr>
          <w:rFonts w:ascii="Times New Roman" w:hAnsi="Times New Roman"/>
          <w:b/>
          <w:sz w:val="24"/>
          <w:szCs w:val="24"/>
          <w:u w:val="single"/>
          <w:lang w:val="it-IT"/>
        </w:rPr>
      </w:pPr>
      <w:r w:rsidRPr="00BC5E20">
        <w:rPr>
          <w:lang w:val="it-IT"/>
        </w:rPr>
        <w:t xml:space="preserve"> </w:t>
      </w:r>
      <w:r>
        <w:rPr>
          <w:rFonts w:ascii="Times New Roman" w:hAnsi="Times New Roman"/>
          <w:b/>
          <w:sz w:val="24"/>
          <w:szCs w:val="24"/>
          <w:u w:val="single"/>
          <w:lang w:val="it-IT"/>
        </w:rPr>
        <w:t>PRINCIPII,POLITICI SI METODE CONTABILE</w:t>
      </w:r>
    </w:p>
    <w:p w:rsidR="00171B69" w:rsidRDefault="00171B69" w:rsidP="00171B69">
      <w:pPr>
        <w:rPr>
          <w:lang w:val="it-IT"/>
        </w:rPr>
      </w:pPr>
    </w:p>
    <w:p w:rsidR="0027387E" w:rsidRPr="00162292" w:rsidRDefault="0027387E" w:rsidP="00171B69">
      <w:pPr>
        <w:rPr>
          <w:lang w:val="it-IT"/>
        </w:rPr>
      </w:pPr>
    </w:p>
    <w:p w:rsidR="00171B69" w:rsidRPr="002D748B" w:rsidRDefault="00171B69" w:rsidP="00171B69">
      <w:pPr>
        <w:numPr>
          <w:ilvl w:val="0"/>
          <w:numId w:val="14"/>
        </w:numPr>
        <w:tabs>
          <w:tab w:val="clear" w:pos="720"/>
        </w:tabs>
        <w:suppressAutoHyphens w:val="0"/>
        <w:ind w:left="426" w:hanging="426"/>
        <w:jc w:val="both"/>
        <w:rPr>
          <w:rFonts w:cs="Arial"/>
          <w:b/>
          <w:bCs/>
          <w:sz w:val="22"/>
          <w:szCs w:val="22"/>
          <w:lang w:val="it-IT"/>
        </w:rPr>
      </w:pPr>
      <w:r w:rsidRPr="002D748B">
        <w:rPr>
          <w:rFonts w:cs="Arial"/>
          <w:b/>
          <w:bCs/>
          <w:sz w:val="22"/>
          <w:szCs w:val="22"/>
          <w:lang w:val="it-IT"/>
        </w:rPr>
        <w:t>Cadrul general de raportare financiar-contabila</w:t>
      </w:r>
    </w:p>
    <w:p w:rsidR="00171B69" w:rsidRDefault="00171B69" w:rsidP="00171B69">
      <w:pPr>
        <w:rPr>
          <w:rFonts w:cs="Arial"/>
          <w:sz w:val="22"/>
          <w:szCs w:val="22"/>
          <w:lang w:val="it-IT"/>
        </w:rPr>
      </w:pPr>
    </w:p>
    <w:p w:rsidR="00171B69" w:rsidRPr="002D748B" w:rsidRDefault="00171B69" w:rsidP="00171B69">
      <w:pPr>
        <w:rPr>
          <w:rFonts w:cs="Arial"/>
          <w:sz w:val="22"/>
          <w:szCs w:val="22"/>
          <w:lang w:val="it-IT"/>
        </w:rPr>
      </w:pPr>
      <w:r w:rsidRPr="002D748B">
        <w:rPr>
          <w:rFonts w:cs="Arial"/>
          <w:sz w:val="22"/>
          <w:szCs w:val="22"/>
          <w:lang w:val="it-IT"/>
        </w:rPr>
        <w:t xml:space="preserve">Politicile contabile adoptate de </w:t>
      </w:r>
      <w:r w:rsidRPr="002D748B">
        <w:rPr>
          <w:rFonts w:cs="Arial"/>
          <w:i/>
          <w:sz w:val="22"/>
          <w:szCs w:val="22"/>
          <w:lang w:val="it-IT"/>
        </w:rPr>
        <w:t>Societate</w:t>
      </w:r>
      <w:r w:rsidRPr="002D748B">
        <w:rPr>
          <w:rFonts w:cs="Arial"/>
          <w:sz w:val="22"/>
          <w:szCs w:val="22"/>
          <w:lang w:val="it-IT"/>
        </w:rPr>
        <w:t xml:space="preserve"> pentru intocmirea si prezentarea </w:t>
      </w:r>
      <w:r w:rsidRPr="002D748B">
        <w:rPr>
          <w:rFonts w:cs="Arial"/>
          <w:i/>
          <w:sz w:val="22"/>
          <w:szCs w:val="22"/>
          <w:lang w:val="it-IT"/>
        </w:rPr>
        <w:t>situatiilor financiare</w:t>
      </w:r>
      <w:r w:rsidRPr="002D748B">
        <w:rPr>
          <w:rFonts w:cs="Arial"/>
          <w:sz w:val="22"/>
          <w:szCs w:val="22"/>
          <w:lang w:val="it-IT"/>
        </w:rPr>
        <w:t xml:space="preserve"> incheiate la 31</w:t>
      </w:r>
      <w:r>
        <w:rPr>
          <w:rFonts w:cs="Arial"/>
          <w:sz w:val="22"/>
          <w:szCs w:val="22"/>
          <w:lang w:val="it-IT"/>
        </w:rPr>
        <w:t xml:space="preserve"> decembrie 20</w:t>
      </w:r>
      <w:r w:rsidR="00953DD3">
        <w:rPr>
          <w:rFonts w:cs="Arial"/>
          <w:sz w:val="22"/>
          <w:szCs w:val="22"/>
          <w:lang w:val="it-IT"/>
        </w:rPr>
        <w:t>2</w:t>
      </w:r>
      <w:r w:rsidR="00E7330E">
        <w:rPr>
          <w:rFonts w:cs="Arial"/>
          <w:sz w:val="22"/>
          <w:szCs w:val="22"/>
          <w:lang w:val="it-IT"/>
        </w:rPr>
        <w:t>3</w:t>
      </w:r>
      <w:r>
        <w:rPr>
          <w:rFonts w:cs="Arial"/>
          <w:sz w:val="22"/>
          <w:szCs w:val="22"/>
          <w:lang w:val="it-IT"/>
        </w:rPr>
        <w:t xml:space="preserve"> </w:t>
      </w:r>
      <w:r w:rsidRPr="002D748B">
        <w:rPr>
          <w:rFonts w:cs="Arial"/>
          <w:sz w:val="22"/>
          <w:szCs w:val="22"/>
          <w:lang w:val="it-IT"/>
        </w:rPr>
        <w:t>(bilant, cont de profit/pierdere</w:t>
      </w:r>
      <w:r>
        <w:rPr>
          <w:rFonts w:cs="Arial"/>
          <w:sz w:val="22"/>
          <w:szCs w:val="22"/>
          <w:lang w:val="it-IT"/>
        </w:rPr>
        <w:t xml:space="preserve">, situatia modificarii capitalurilor proprii, situatia fluxurilor de numerar, note explicative </w:t>
      </w:r>
      <w:r w:rsidRPr="002D748B">
        <w:rPr>
          <w:rFonts w:cs="Arial"/>
          <w:sz w:val="22"/>
          <w:szCs w:val="22"/>
          <w:lang w:val="it-IT"/>
        </w:rPr>
        <w:t>) prezentate si in cadrul acestui capitol, sunt consecvente cu cele prevazute in reglementarile legale in vigoare, respectiv</w:t>
      </w:r>
      <w:r>
        <w:rPr>
          <w:rFonts w:cs="Arial"/>
          <w:sz w:val="22"/>
          <w:szCs w:val="22"/>
          <w:lang w:val="it-IT"/>
        </w:rPr>
        <w:t>:</w:t>
      </w:r>
    </w:p>
    <w:p w:rsidR="00171B69" w:rsidRDefault="00171B69" w:rsidP="00171B69">
      <w:pPr>
        <w:numPr>
          <w:ilvl w:val="0"/>
          <w:numId w:val="13"/>
        </w:numPr>
        <w:suppressAutoHyphens w:val="0"/>
        <w:ind w:left="0" w:firstLine="0"/>
        <w:jc w:val="both"/>
        <w:rPr>
          <w:rFonts w:cs="Arial"/>
          <w:sz w:val="22"/>
          <w:szCs w:val="22"/>
          <w:lang w:val="ro-RO"/>
        </w:rPr>
      </w:pPr>
      <w:r w:rsidRPr="002D748B">
        <w:rPr>
          <w:rFonts w:cs="Arial"/>
          <w:sz w:val="22"/>
          <w:szCs w:val="22"/>
          <w:lang w:val="ro-RO"/>
        </w:rPr>
        <w:t xml:space="preserve">Legea contabilităţii nr. 82/1991, republicata, cu modificarile si completarile ulterioare </w:t>
      </w:r>
    </w:p>
    <w:p w:rsidR="00171B69" w:rsidRDefault="00171B69" w:rsidP="00171B69">
      <w:pPr>
        <w:numPr>
          <w:ilvl w:val="0"/>
          <w:numId w:val="13"/>
        </w:numPr>
        <w:suppressAutoHyphens w:val="0"/>
        <w:ind w:left="0" w:firstLine="0"/>
        <w:jc w:val="both"/>
        <w:rPr>
          <w:rFonts w:cs="Arial"/>
          <w:sz w:val="22"/>
          <w:szCs w:val="22"/>
          <w:lang w:val="ro-RO"/>
        </w:rPr>
      </w:pPr>
      <w:r>
        <w:rPr>
          <w:rFonts w:cs="Arial"/>
          <w:sz w:val="22"/>
          <w:szCs w:val="22"/>
          <w:lang w:val="ro-RO"/>
        </w:rPr>
        <w:t>Ordin Ministerul Finantelor Publice 2844/2016  pentru aprobarea reglementarilor contabile conforme cu Standardele Internationale de raportare financiara.</w:t>
      </w:r>
    </w:p>
    <w:p w:rsidR="00171B69" w:rsidRPr="002D748B" w:rsidRDefault="00171B69" w:rsidP="00171B69">
      <w:pPr>
        <w:rPr>
          <w:rFonts w:cs="Arial"/>
          <w:sz w:val="22"/>
          <w:szCs w:val="22"/>
          <w:lang w:val="ro-RO"/>
        </w:rPr>
      </w:pPr>
      <w:r>
        <w:rPr>
          <w:rFonts w:cs="Arial"/>
          <w:sz w:val="22"/>
          <w:szCs w:val="22"/>
          <w:lang w:val="ro-RO"/>
        </w:rPr>
        <w:t xml:space="preserve">      </w:t>
      </w:r>
    </w:p>
    <w:p w:rsidR="00171B69" w:rsidRPr="002D748B" w:rsidRDefault="00171B69" w:rsidP="00171B69">
      <w:pPr>
        <w:numPr>
          <w:ilvl w:val="0"/>
          <w:numId w:val="13"/>
        </w:numPr>
        <w:suppressAutoHyphens w:val="0"/>
        <w:ind w:left="0" w:firstLine="0"/>
        <w:jc w:val="both"/>
        <w:rPr>
          <w:rFonts w:cs="Arial"/>
          <w:sz w:val="22"/>
          <w:szCs w:val="22"/>
          <w:lang w:val="es-ES_tradnl"/>
        </w:rPr>
      </w:pPr>
      <w:r>
        <w:rPr>
          <w:rFonts w:cs="Arial"/>
          <w:sz w:val="22"/>
          <w:szCs w:val="22"/>
          <w:lang w:val="es-ES_tradnl"/>
        </w:rPr>
        <w:t xml:space="preserve">Ordin Ministerul Finantelor Publice nr. 1802/2014 , pentru aprobarea Reglementarilor contabile privind situatiile financiare anuale </w:t>
      </w:r>
    </w:p>
    <w:p w:rsidR="00171B69" w:rsidRDefault="00171B69" w:rsidP="00171B69">
      <w:pPr>
        <w:numPr>
          <w:ilvl w:val="0"/>
          <w:numId w:val="13"/>
        </w:numPr>
        <w:suppressAutoHyphens w:val="0"/>
        <w:ind w:left="0" w:firstLine="0"/>
        <w:jc w:val="both"/>
        <w:rPr>
          <w:rFonts w:cs="Arial"/>
          <w:sz w:val="22"/>
          <w:szCs w:val="22"/>
          <w:lang w:val="ro-RO"/>
        </w:rPr>
      </w:pPr>
      <w:r w:rsidRPr="002D748B">
        <w:rPr>
          <w:rFonts w:cs="Arial"/>
          <w:sz w:val="22"/>
          <w:szCs w:val="22"/>
          <w:lang w:val="ro-RO"/>
        </w:rPr>
        <w:t>Alte reglementari emise de MFP in aplicarea L 82/1991.</w:t>
      </w:r>
    </w:p>
    <w:p w:rsidR="00171B69" w:rsidRDefault="00171B69" w:rsidP="00171B69">
      <w:pPr>
        <w:suppressAutoHyphens w:val="0"/>
        <w:jc w:val="both"/>
        <w:rPr>
          <w:rFonts w:cs="Arial"/>
          <w:sz w:val="22"/>
          <w:szCs w:val="22"/>
          <w:lang w:val="ro-RO"/>
        </w:rPr>
      </w:pPr>
    </w:p>
    <w:p w:rsidR="00171B69" w:rsidRPr="00D5372D" w:rsidRDefault="00171B69" w:rsidP="00171B69">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cs="Arial"/>
          <w:sz w:val="22"/>
          <w:szCs w:val="22"/>
          <w:lang w:val="en-US" w:eastAsia="en-US"/>
        </w:rPr>
      </w:pPr>
      <w:r w:rsidRPr="00D5372D">
        <w:rPr>
          <w:rFonts w:cs="Arial"/>
          <w:sz w:val="22"/>
          <w:szCs w:val="22"/>
          <w:lang w:val="en-US" w:eastAsia="en-US"/>
        </w:rPr>
        <w:t>Exercitiul financiar incepe la 1 ianuarie si se  incheie la 31 decembrie.</w:t>
      </w:r>
    </w:p>
    <w:p w:rsidR="00171B69" w:rsidRPr="00D5372D" w:rsidRDefault="00171B69" w:rsidP="00171B69">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cs="Arial"/>
          <w:sz w:val="22"/>
          <w:szCs w:val="22"/>
          <w:lang w:val="en-US" w:eastAsia="en-US"/>
        </w:rPr>
      </w:pPr>
      <w:r w:rsidRPr="00D5372D">
        <w:rPr>
          <w:rFonts w:cs="Arial"/>
          <w:sz w:val="22"/>
          <w:szCs w:val="22"/>
          <w:lang w:val="en-US" w:eastAsia="en-US"/>
        </w:rPr>
        <w:t>Baza intocmirii situatiilor financiare</w:t>
      </w:r>
    </w:p>
    <w:p w:rsidR="00171B69" w:rsidRDefault="00171B69" w:rsidP="00171B69">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992"/>
          <w:tab w:val="left" w:pos="11908"/>
          <w:tab w:val="left" w:pos="12824"/>
          <w:tab w:val="left" w:pos="13740"/>
          <w:tab w:val="left" w:pos="14656"/>
        </w:tabs>
        <w:suppressAutoHyphens w:val="0"/>
        <w:rPr>
          <w:rFonts w:cs="Arial"/>
          <w:sz w:val="22"/>
          <w:szCs w:val="22"/>
          <w:lang w:val="en-US" w:eastAsia="en-US"/>
        </w:rPr>
      </w:pPr>
      <w:r w:rsidRPr="00D5372D">
        <w:rPr>
          <w:rFonts w:cs="Arial"/>
          <w:sz w:val="22"/>
          <w:szCs w:val="22"/>
          <w:lang w:val="en-US" w:eastAsia="en-US"/>
        </w:rPr>
        <w:t xml:space="preserve"> Situatiile financiare pentru a</w:t>
      </w:r>
      <w:r w:rsidR="00953DD3">
        <w:rPr>
          <w:rFonts w:cs="Arial"/>
          <w:sz w:val="22"/>
          <w:szCs w:val="22"/>
          <w:lang w:val="en-US" w:eastAsia="en-US"/>
        </w:rPr>
        <w:t>nul incheiat la 31 decembrie 202</w:t>
      </w:r>
      <w:r w:rsidR="00E7330E">
        <w:rPr>
          <w:rFonts w:cs="Arial"/>
          <w:sz w:val="22"/>
          <w:szCs w:val="22"/>
          <w:lang w:val="en-US" w:eastAsia="en-US"/>
        </w:rPr>
        <w:t>3</w:t>
      </w:r>
      <w:r w:rsidRPr="00D5372D">
        <w:rPr>
          <w:rFonts w:cs="Arial"/>
          <w:sz w:val="22"/>
          <w:szCs w:val="22"/>
          <w:lang w:val="en-US" w:eastAsia="en-US"/>
        </w:rPr>
        <w:t xml:space="preserve"> au fost intocmite in conformitate cu urmatoarele principii:</w:t>
      </w:r>
    </w:p>
    <w:p w:rsidR="00171B69" w:rsidRPr="00D5372D" w:rsidRDefault="00171B69" w:rsidP="00171B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360"/>
        <w:rPr>
          <w:rFonts w:cs="Arial"/>
          <w:sz w:val="22"/>
          <w:szCs w:val="22"/>
          <w:lang w:val="en-US" w:eastAsia="en-US"/>
        </w:rPr>
      </w:pPr>
    </w:p>
    <w:p w:rsidR="00171B69" w:rsidRPr="00D5372D" w:rsidRDefault="00171B69" w:rsidP="00171B69">
      <w:pPr>
        <w:pStyle w:val="HTMLPreformatted"/>
        <w:numPr>
          <w:ilvl w:val="0"/>
          <w:numId w:val="13"/>
        </w:numPr>
        <w:rPr>
          <w:rFonts w:ascii="Arial" w:hAnsi="Arial" w:cs="Arial"/>
          <w:sz w:val="22"/>
          <w:szCs w:val="22"/>
        </w:rPr>
      </w:pPr>
      <w:r>
        <w:t xml:space="preserve">  </w:t>
      </w:r>
      <w:r w:rsidRPr="00D5372D">
        <w:rPr>
          <w:rFonts w:ascii="Arial" w:hAnsi="Arial" w:cs="Arial"/>
          <w:sz w:val="22"/>
          <w:szCs w:val="22"/>
        </w:rPr>
        <w:t xml:space="preserve">a)    Principiul continuităţii activităţii </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(1) Principiul continuităţii activităţii. Trebuie să se prezume că entitatea îşi desfăşoară activitatea pe baza principiului continuităţii activităţii. Acest principiu presupune că entitatea îşi continuă în mod normal funcţionarea, fără a intra în stare de lichidare sau reducere semnificativă a activităţii.</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 xml:space="preserve">    (2) O entitate nu va întocmi situaţiile financiare anuale pe baza principiului continuităţii activităţii dacă organele de conducere stabilesc după data bilanţului fie că intenţionează să lichideze entitatea sau să înceteze activitatea acesteia, fie că nu există nicio altă variantă realistă în afara acestora. Aceste prevederi nu se aplică situaţiilor financiare anuale întocmite de entităţile absorbite în cadrul unui proces de fuziune sau de divizare, potrivit legii.</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 xml:space="preserve">           Deteriorarea rezultatelor din exploatare şi a poziţiei financiare, ulterior datei bilanţului, indică nevoia de a analiza dacă presupunerea privind continuitatea activităţii este încă adecvată.</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 xml:space="preserve">    (3) Dacă administratorii unei entităţi au luat cunoştinţă de unele elemente de nesiguranţă legate de anumite evenimente care pot duce la incapacitatea acesteia de a-şi continua activitatea, aceste elemente trebuie prezentate în notele explicative. În cazul în care situaţiile financiare anuale nu sunt întocmite pe baza principiului continuităţii, această informaţie trebuie prezentată, împreună cu motivele care au stat la baza deciziei conform căreia entitatea nu îşi mai poate continua activitatea. Evenimentele sau condiţiile ce necesită prezentări de informaţii pot apărea şi ulterior datei bilanţului.</w:t>
      </w:r>
    </w:p>
    <w:p w:rsidR="00171B69" w:rsidRPr="00D5372D" w:rsidRDefault="00171B69" w:rsidP="00171B69">
      <w:pPr>
        <w:pStyle w:val="HTMLPreformatted"/>
        <w:numPr>
          <w:ilvl w:val="0"/>
          <w:numId w:val="13"/>
        </w:numPr>
        <w:rPr>
          <w:rFonts w:ascii="Arial" w:hAnsi="Arial" w:cs="Arial"/>
          <w:sz w:val="22"/>
          <w:szCs w:val="22"/>
        </w:rPr>
      </w:pP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 xml:space="preserve">     b) Principiul permanenţei metodelor. </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lastRenderedPageBreak/>
        <w:t>Principiul permanenţei metodelor. Politicile contabile şi metodele de evaluare trebuie aplicate în mod consecvent de la un exerciţiu financiar la altul.</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 xml:space="preserve"> </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 xml:space="preserve">c)  Principiul prudenţei </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(1) Principiul prudenţei. La întocmirea situaţiilor financiare anuale, recunoaşterea şi evaluarea trebuie realizate pe o bază prudentă şi, în special:</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 xml:space="preserve">    a) în contul de profit şi pierdere poate fi inclus numai profitul realizat la data bilanţului;</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 xml:space="preserve">    b) sunt recunoscute datoriile apărute în cursul exerciţiului financiar curent sau al unui exerciţiu precedent, chiar dacă acestea devin evidente numai între data bilanţului şi data întocmirii acestuia;</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 xml:space="preserve">    c) sunt recunoscute deprecierile, indiferent dacă rezultatul exerciţiului financiar este pierdere sau profit. Înregistrarea ajustărilor pentru depreciere sau pierdere de valoare se efectuează pe seama conturilor de cheltuieli, indiferent de impactul acestora asupra contului de profit şi pierdere.</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 xml:space="preserve">    (2) Activele şi veniturile nu trebuie să fie supraevaluate, iar datoriile şi cheltuielile, subevaluate. Totuşi, exercitarea prudenţei nu permite, de exemplu, constituirea de provizioane excesive, subevaluarea deliberată a activelor sau veniturilor, dar nici supraevaluarea deliberată a datoriilor sau cheltuielilor, deoarece situaţiile financiare nu ar mai fi neutre şi nu ar mai avea calitatea de a fi credibile.</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 xml:space="preserve">           În afara sumelor recunoscute în conformitate cu pct. 51 alin. (1) lit. b), trebuie recunoscute toate datoriile previzibile şi pierderile potenţiale care au apărut în cursul exerciţiului financiar respectiv sau în cursul unui exerciţiu precedent, chiar dacă acestea devin evidente numai între data bilanţului şi data întocmirii acestuia.</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 xml:space="preserve">   </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 xml:space="preserve">d) Principiul contabilităţii de angajamente </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(1) Principiul contabilităţii de angajamente. Efectele tranzacţiilor şi ale altor evenimente sunt recunoscute atunci când tranzacţiile şi evenimentele se produc (şi nu pe măsură ce numerarul sau echivalentul său este încasat sau plătit) şi sunt înregistrate în contabilitate şi raportate în situaţiile financiare ale perioadelor aferente.</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 xml:space="preserve">    (2) Trebuie să se ţină cont de veniturile şi cheltuielile aferente exerciţiului financiar, indiferent de data încasării veniturilor sau data plăţii cheltuielilor. Astfel, se vor evidenţia în conturile de venituri şi creanţele pentru care nu a fost întocmită încă factura (contul 418 "Clienţi - facturi de întocmit"), respectiv în conturile de cheltuieli sau bunuri, datoriile pentru care nu s-a primit încă factura (contul 408 "Furnizori - facturi nesosite"). În toate cazurile, înregistrarea în aceste conturi se efectuează pe baza documentelor care atestă livrarea bunurilor, respectiv prestarea serviciilor (de exemplu, avize de însoţire a mărfii, situaţii de lucrări etc.).</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 xml:space="preserve">    (3) Veniturile şi cheltuielile care rezultă direct şi concomitent din aceeaşi tranzacţie sunt recunoscute simultan în contabilitate, prin asocierea directă între cheltuielile şi veniturile aferente, cu evidenţierea distinctă a acestor venituri şi cheltuieli.</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 xml:space="preserve">    (4) Principiul contabilităţii de angajamente se aplică inclusiv la recunoaşterea dobânzii aferente perioadei, indiferent de scadenţa acesteia.</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 xml:space="preserve">    </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 xml:space="preserve">e) Principiul intangibilităţii </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(1) Principiul intangibilităţii. Bilanţul</w:t>
      </w:r>
      <w:r w:rsidR="00953DD3">
        <w:rPr>
          <w:rFonts w:ascii="Arial" w:hAnsi="Arial" w:cs="Arial"/>
          <w:sz w:val="22"/>
          <w:szCs w:val="22"/>
        </w:rPr>
        <w:t xml:space="preserve"> de deschidere pentru  anul 202</w:t>
      </w:r>
      <w:r w:rsidR="00CA4FEA">
        <w:rPr>
          <w:rFonts w:ascii="Arial" w:hAnsi="Arial" w:cs="Arial"/>
          <w:sz w:val="22"/>
          <w:szCs w:val="22"/>
        </w:rPr>
        <w:t>2</w:t>
      </w:r>
      <w:r w:rsidRPr="00D5372D">
        <w:rPr>
          <w:rFonts w:ascii="Arial" w:hAnsi="Arial" w:cs="Arial"/>
          <w:sz w:val="22"/>
          <w:szCs w:val="22"/>
        </w:rPr>
        <w:t xml:space="preserve"> corespunde cu bilanţul de închidere al exerciţiului financiar de la 31.12.</w:t>
      </w:r>
      <w:r w:rsidR="00AE1FEB">
        <w:rPr>
          <w:rFonts w:ascii="Arial" w:hAnsi="Arial" w:cs="Arial"/>
          <w:sz w:val="22"/>
          <w:szCs w:val="22"/>
        </w:rPr>
        <w:t>202</w:t>
      </w:r>
      <w:r w:rsidR="00CA4FEA">
        <w:rPr>
          <w:rFonts w:ascii="Arial" w:hAnsi="Arial" w:cs="Arial"/>
          <w:sz w:val="22"/>
          <w:szCs w:val="22"/>
        </w:rPr>
        <w:t>1</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 xml:space="preserve">    (2) În cazul modificării politicilor contabile şi al corectării unor erori aferente perioadelor precedente, nu se modifică bilanţul perioadei anterioare celei de raportare.</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lastRenderedPageBreak/>
        <w:t xml:space="preserve">    (3) Înregistrarea pe seama rezultatului reportat a corectării erorilor semnificative aferente exerciţiilor financiare precedente, precum şi a modificării politicilor contabile nu se consideră încălcare a principiului intangibilităţii.</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 xml:space="preserve">      </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f)   Principiul evaluării separate a elementelor de activ şi de datorii. Componentele elementelor de active şi de datorii trebuie evaluate separat.</w:t>
      </w:r>
    </w:p>
    <w:p w:rsidR="00171B69" w:rsidRPr="00D5372D" w:rsidRDefault="00171B69" w:rsidP="00171B69">
      <w:pPr>
        <w:pStyle w:val="HTMLPreformatted"/>
        <w:numPr>
          <w:ilvl w:val="0"/>
          <w:numId w:val="13"/>
        </w:numPr>
        <w:rPr>
          <w:rFonts w:ascii="Arial" w:hAnsi="Arial" w:cs="Arial"/>
          <w:sz w:val="22"/>
          <w:szCs w:val="22"/>
        </w:rPr>
      </w:pP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 xml:space="preserve">g) Principiul necompensării </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 xml:space="preserve">    (1) Principiul necompensării. Orice compensare între elementele de activ şi datorii sau între elementele de venituri şi cheltuieli este interzisă.</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 xml:space="preserve">    (2) Toate creanţele şi datoriile trebuie înregistrate distinct în contabilitate, pe bază de documente justificative.</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 xml:space="preserve">    (3) Eventualele compensări între creanţe şi datorii faţă de aceeaşi entitate efectuate cu respectarea prevederilor legale pot fi înregistrate numai după contabilizarea creanţelor şi veniturilor, respectiv a datoriilor şi cheltuielilor corespunzătoare.</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 xml:space="preserve">    (4) În cazul schimbului de active, în contabilitate se evidenţiază distinct operaţiunea de vânzare/scoatere din evidenţă şi cea de cumpărare/intrare în evidenţă, pe baza documentelor justificative, cu înregistrarea tuturor veniturilor şi cheltuielilor aferente operaţiunilor. Tratamentul contabil este similar şi în cazul prestărilor reciproce de servicii.</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 xml:space="preserve">            Forma juridică a unui document trebuie să fie în concordanţă cu realitatea economică. Atunci când există diferenţe între fondul sau natura economică a unei operaţiuni sau tranzacţii şi forma sa juridică, entitatea va înregistra în contabilitate aceste operaţiuni, cu respectarea fondului economic al acestora.</w:t>
      </w:r>
    </w:p>
    <w:p w:rsidR="00171B69" w:rsidRPr="0027387E" w:rsidRDefault="00171B69" w:rsidP="00171B69">
      <w:pPr>
        <w:pStyle w:val="HTMLPreformatted"/>
        <w:numPr>
          <w:ilvl w:val="0"/>
          <w:numId w:val="13"/>
        </w:numPr>
        <w:rPr>
          <w:rFonts w:ascii="Arial" w:hAnsi="Arial" w:cs="Arial"/>
          <w:sz w:val="22"/>
          <w:szCs w:val="22"/>
        </w:rPr>
      </w:pPr>
      <w:r w:rsidRPr="0027387E">
        <w:rPr>
          <w:rFonts w:ascii="Arial" w:hAnsi="Arial" w:cs="Arial"/>
          <w:sz w:val="22"/>
          <w:szCs w:val="22"/>
        </w:rPr>
        <w:t xml:space="preserve">                        Entităţile au obligaţia ca la întocmirea documentelor justificative şi la contabilizarea operaţiunilor economico-financiare să ţină seama de toate informaţiile disponibile, astfel încât să fie extrem de rare situaţiile în care natura economică a operaţiunii să fie diferită de forma juridică a documentelor care stau la baza acestora.</w:t>
      </w:r>
    </w:p>
    <w:p w:rsidR="00171B69" w:rsidRPr="00D5372D" w:rsidRDefault="00171B69" w:rsidP="00171B69">
      <w:pPr>
        <w:pStyle w:val="HTMLPreformatted"/>
        <w:ind w:left="360"/>
        <w:rPr>
          <w:rFonts w:ascii="Arial" w:hAnsi="Arial" w:cs="Arial"/>
          <w:sz w:val="22"/>
          <w:szCs w:val="22"/>
        </w:rPr>
      </w:pPr>
      <w:r w:rsidRPr="00D5372D">
        <w:rPr>
          <w:rFonts w:ascii="Arial" w:hAnsi="Arial" w:cs="Arial"/>
          <w:sz w:val="22"/>
          <w:szCs w:val="22"/>
        </w:rPr>
        <w:t xml:space="preserve">    </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 xml:space="preserve">h) Principiul evaluării la cost de achiziţie sau cost de producţie </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 xml:space="preserve">   (1) Principiul evaluării la cost de achiziţie sau cost de producţie. Elementele prezentate în situaţiile financiare se evaluează, de regulă, pe baza principiului costului de achiziţie sau al costului de producţie. Cazurile în care nu se foloseşte costul de achiziţie sau costul de producţie sunt cele prevăzute de prezentele reglementări.</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 xml:space="preserve">    (2) În situaţia în care s-a optat pentru reevaluarea imobilizărilor corporale sau evaluarea instrumentelor financiare la valoarea justă, se aplică prevederile secţiunii 3.4 "Evaluarea alternativă la valoarea justă".</w:t>
      </w:r>
    </w:p>
    <w:p w:rsidR="00171B69" w:rsidRPr="00D5372D" w:rsidRDefault="00171B69" w:rsidP="00171B69">
      <w:pPr>
        <w:pStyle w:val="HTMLPreformatted"/>
        <w:numPr>
          <w:ilvl w:val="0"/>
          <w:numId w:val="13"/>
        </w:numPr>
        <w:rPr>
          <w:rFonts w:ascii="Arial" w:hAnsi="Arial" w:cs="Arial"/>
          <w:sz w:val="22"/>
          <w:szCs w:val="22"/>
        </w:rPr>
      </w:pP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 xml:space="preserve">   i) Principiul pragului de semnificaţie</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 xml:space="preserve">            Principiul pragului de semnificaţie. Entitatea se poate abate de la cerinţele cuprinse în prezentele reglementări referitoare la prezentările de informaţii şi publicare, atunci când efectele respectării lor sunt nesemnificative.</w:t>
      </w:r>
    </w:p>
    <w:p w:rsidR="00171B69" w:rsidRPr="00D5372D" w:rsidRDefault="00171B69" w:rsidP="00171B69">
      <w:pPr>
        <w:pStyle w:val="HTMLPreformatted"/>
        <w:numPr>
          <w:ilvl w:val="0"/>
          <w:numId w:val="13"/>
        </w:numPr>
        <w:rPr>
          <w:rFonts w:ascii="Arial" w:hAnsi="Arial" w:cs="Arial"/>
          <w:sz w:val="22"/>
          <w:szCs w:val="22"/>
        </w:rPr>
      </w:pP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 xml:space="preserve">Tratamente contabile </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a)</w:t>
      </w:r>
      <w:r w:rsidRPr="00D5372D">
        <w:rPr>
          <w:rFonts w:ascii="Arial" w:hAnsi="Arial" w:cs="Arial"/>
          <w:sz w:val="22"/>
          <w:szCs w:val="22"/>
        </w:rPr>
        <w:tab/>
        <w:t xml:space="preserve">la data intrarii in patrimoniu bunurile se evalueaza si se inregistreaza in contabilitate la valoarea  de intrare, denumita si valoare contabila  </w:t>
      </w:r>
    </w:p>
    <w:p w:rsidR="00171B69" w:rsidRPr="00D5372D" w:rsidRDefault="00171B69" w:rsidP="00171B69">
      <w:pPr>
        <w:pStyle w:val="HTMLPreformatted"/>
        <w:numPr>
          <w:ilvl w:val="0"/>
          <w:numId w:val="13"/>
        </w:numPr>
        <w:rPr>
          <w:rFonts w:ascii="Arial" w:hAnsi="Arial" w:cs="Arial"/>
          <w:sz w:val="22"/>
          <w:szCs w:val="22"/>
        </w:rPr>
      </w:pPr>
      <w:r>
        <w:rPr>
          <w:rFonts w:ascii="Arial" w:hAnsi="Arial" w:cs="Arial"/>
          <w:sz w:val="22"/>
          <w:szCs w:val="22"/>
        </w:rPr>
        <w:lastRenderedPageBreak/>
        <w:t>b</w:t>
      </w:r>
      <w:r w:rsidRPr="00D5372D">
        <w:rPr>
          <w:rFonts w:ascii="Arial" w:hAnsi="Arial" w:cs="Arial"/>
          <w:sz w:val="22"/>
          <w:szCs w:val="22"/>
        </w:rPr>
        <w:t>) la incheierea exercitiului elementelor patrimoniale se evalueaza si se reflecta in bilantul contabil la  valoarea de intrare in patrimoniu, respectiv valoarea contabila pusa de acord cu rezultatele inventarierii.</w:t>
      </w:r>
    </w:p>
    <w:p w:rsidR="00EC42C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 xml:space="preserve">         La elementele monetare exprimate in valuta s-a utilizat cursul de inchidere din data de 31.12.20</w:t>
      </w:r>
      <w:r w:rsidR="00953DD3">
        <w:rPr>
          <w:rFonts w:ascii="Arial" w:hAnsi="Arial" w:cs="Arial"/>
          <w:sz w:val="22"/>
          <w:szCs w:val="22"/>
        </w:rPr>
        <w:t>2</w:t>
      </w:r>
      <w:r w:rsidR="00E7330E">
        <w:rPr>
          <w:rFonts w:ascii="Arial" w:hAnsi="Arial" w:cs="Arial"/>
          <w:sz w:val="22"/>
          <w:szCs w:val="22"/>
        </w:rPr>
        <w:t>3</w:t>
      </w:r>
      <w:r w:rsidRPr="00D5372D">
        <w:rPr>
          <w:rFonts w:ascii="Arial" w:hAnsi="Arial" w:cs="Arial"/>
          <w:sz w:val="22"/>
          <w:szCs w:val="22"/>
        </w:rPr>
        <w:t>, la rata o</w:t>
      </w:r>
      <w:r>
        <w:rPr>
          <w:rFonts w:ascii="Arial" w:hAnsi="Arial" w:cs="Arial"/>
          <w:sz w:val="22"/>
          <w:szCs w:val="22"/>
        </w:rPr>
        <w:t xml:space="preserve">ficiala comunicata B.N.R. </w:t>
      </w:r>
      <w:r w:rsidRPr="00E7330E">
        <w:rPr>
          <w:rFonts w:ascii="Arial" w:hAnsi="Arial" w:cs="Arial"/>
          <w:sz w:val="22"/>
          <w:szCs w:val="22"/>
        </w:rPr>
        <w:t xml:space="preserve">de </w:t>
      </w:r>
      <w:r w:rsidR="00E7330E" w:rsidRPr="00E7330E">
        <w:rPr>
          <w:rFonts w:ascii="Arial" w:hAnsi="Arial" w:cs="Arial"/>
          <w:sz w:val="22"/>
          <w:szCs w:val="22"/>
        </w:rPr>
        <w:t>4,9746</w:t>
      </w:r>
      <w:r w:rsidRPr="00E7330E">
        <w:rPr>
          <w:rFonts w:ascii="Arial" w:hAnsi="Arial" w:cs="Arial"/>
          <w:sz w:val="22"/>
          <w:szCs w:val="22"/>
        </w:rPr>
        <w:t xml:space="preserve"> /eur</w:t>
      </w:r>
      <w:r w:rsidRPr="00D5372D">
        <w:rPr>
          <w:rFonts w:ascii="Arial" w:hAnsi="Arial" w:cs="Arial"/>
          <w:sz w:val="22"/>
          <w:szCs w:val="22"/>
        </w:rPr>
        <w:t xml:space="preserve">  . </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Diferentele de curs s-au inregistrat pe venituri, respectiv pe cheltuieli.</w:t>
      </w:r>
    </w:p>
    <w:p w:rsidR="00171B69" w:rsidRPr="00D5372D" w:rsidRDefault="00171B69" w:rsidP="00171B69">
      <w:pPr>
        <w:pStyle w:val="HTMLPreformatted"/>
        <w:numPr>
          <w:ilvl w:val="0"/>
          <w:numId w:val="13"/>
        </w:numPr>
        <w:rPr>
          <w:rFonts w:ascii="Arial" w:hAnsi="Arial" w:cs="Arial"/>
          <w:sz w:val="22"/>
          <w:szCs w:val="22"/>
        </w:rPr>
      </w:pPr>
      <w:r w:rsidRPr="00D5372D">
        <w:rPr>
          <w:rFonts w:ascii="Arial" w:hAnsi="Arial" w:cs="Arial"/>
          <w:sz w:val="22"/>
          <w:szCs w:val="22"/>
        </w:rPr>
        <w:t>d)</w:t>
      </w:r>
      <w:r w:rsidRPr="00D5372D">
        <w:rPr>
          <w:rFonts w:ascii="Arial" w:hAnsi="Arial" w:cs="Arial"/>
          <w:sz w:val="22"/>
          <w:szCs w:val="22"/>
        </w:rPr>
        <w:tab/>
        <w:t>la data iesirii din patrimoniu sau la darea in consum bunurile se evalueaza si se scad din gestiune la valoarea de intrare.</w:t>
      </w:r>
    </w:p>
    <w:p w:rsidR="00171B69" w:rsidRPr="00D5372D" w:rsidRDefault="00171B69" w:rsidP="00171B69">
      <w:pPr>
        <w:rPr>
          <w:rFonts w:cs="Arial"/>
          <w:sz w:val="22"/>
          <w:szCs w:val="22"/>
          <w:lang w:val="it-IT"/>
        </w:rPr>
      </w:pPr>
    </w:p>
    <w:p w:rsidR="00171B69" w:rsidRDefault="00171B69" w:rsidP="00171B69">
      <w:pPr>
        <w:suppressAutoHyphens w:val="0"/>
        <w:jc w:val="both"/>
        <w:rPr>
          <w:rFonts w:cs="Arial"/>
          <w:sz w:val="22"/>
          <w:szCs w:val="22"/>
          <w:lang w:val="it-IT"/>
        </w:rPr>
      </w:pPr>
    </w:p>
    <w:p w:rsidR="00171B69" w:rsidRDefault="00171B69" w:rsidP="00171B69">
      <w:pPr>
        <w:suppressAutoHyphens w:val="0"/>
        <w:jc w:val="both"/>
        <w:rPr>
          <w:rFonts w:cs="Arial"/>
          <w:sz w:val="22"/>
          <w:szCs w:val="22"/>
          <w:lang w:val="it-IT"/>
        </w:rPr>
      </w:pPr>
    </w:p>
    <w:p w:rsidR="00171B69" w:rsidRDefault="00171B69" w:rsidP="00171B69">
      <w:pPr>
        <w:numPr>
          <w:ilvl w:val="0"/>
          <w:numId w:val="14"/>
        </w:numPr>
        <w:suppressAutoHyphens w:val="0"/>
        <w:ind w:left="0" w:firstLine="0"/>
        <w:jc w:val="both"/>
        <w:rPr>
          <w:rFonts w:cs="Arial"/>
          <w:b/>
          <w:sz w:val="22"/>
          <w:szCs w:val="22"/>
          <w:lang w:val="it-IT"/>
        </w:rPr>
      </w:pPr>
      <w:r>
        <w:rPr>
          <w:rFonts w:cs="Arial"/>
          <w:b/>
          <w:sz w:val="22"/>
          <w:szCs w:val="22"/>
          <w:lang w:val="it-IT"/>
        </w:rPr>
        <w:t>Imobilizarile corporale</w:t>
      </w:r>
    </w:p>
    <w:p w:rsidR="00171B69" w:rsidRDefault="00171B69" w:rsidP="00171B69">
      <w:pPr>
        <w:rPr>
          <w:rFonts w:cs="Arial"/>
          <w:b/>
          <w:sz w:val="22"/>
          <w:szCs w:val="22"/>
          <w:lang w:val="it-IT"/>
        </w:rPr>
      </w:pPr>
    </w:p>
    <w:p w:rsidR="00171B69" w:rsidRDefault="00171B69" w:rsidP="00171B69">
      <w:pPr>
        <w:rPr>
          <w:rFonts w:cs="Arial"/>
          <w:sz w:val="22"/>
          <w:szCs w:val="22"/>
          <w:lang w:val="it-IT"/>
        </w:rPr>
      </w:pPr>
      <w:r>
        <w:rPr>
          <w:rFonts w:cs="Arial"/>
          <w:sz w:val="22"/>
          <w:szCs w:val="22"/>
          <w:lang w:val="it-IT"/>
        </w:rPr>
        <w:t>Imobilizarile corporale sunt recunoscute initial la cost istoric si inregistrate in evidentele contabile la acest cost, iar in bilant ele sunt prezentate la valorile ramase (cost istoric  reevaluat din care se scade amortizarea inregistrata).</w:t>
      </w:r>
    </w:p>
    <w:p w:rsidR="00171B69" w:rsidRDefault="00171B69" w:rsidP="00171B69">
      <w:pPr>
        <w:rPr>
          <w:rFonts w:cs="Arial"/>
          <w:sz w:val="22"/>
          <w:szCs w:val="22"/>
          <w:lang w:val="it-IT"/>
        </w:rPr>
      </w:pPr>
    </w:p>
    <w:p w:rsidR="00171B69" w:rsidRDefault="00171B69" w:rsidP="00171B69">
      <w:pPr>
        <w:rPr>
          <w:rFonts w:cs="Arial"/>
          <w:sz w:val="22"/>
          <w:szCs w:val="22"/>
          <w:lang w:val="it-IT"/>
        </w:rPr>
      </w:pPr>
      <w:r>
        <w:rPr>
          <w:rFonts w:cs="Arial"/>
          <w:sz w:val="22"/>
          <w:szCs w:val="22"/>
          <w:lang w:val="it-IT"/>
        </w:rPr>
        <w:t xml:space="preserve">Elementele de imobilizari corporale casate sau scoase din evidenta in urma vanzarii sunt eliminate din bilant impreuna cu amortizarea cumulata ramasa, profitul sau pierderea neta rezultata fiind inclusa in rezultatul din exploatare. </w:t>
      </w:r>
    </w:p>
    <w:p w:rsidR="00171B69" w:rsidRDefault="00171B69" w:rsidP="00171B69">
      <w:pPr>
        <w:rPr>
          <w:rFonts w:cs="Arial"/>
          <w:sz w:val="22"/>
          <w:szCs w:val="22"/>
          <w:lang w:val="it-IT"/>
        </w:rPr>
      </w:pPr>
    </w:p>
    <w:p w:rsidR="00171B69" w:rsidRDefault="00171B69" w:rsidP="00171B69">
      <w:pPr>
        <w:rPr>
          <w:rFonts w:cs="Arial"/>
          <w:sz w:val="22"/>
          <w:szCs w:val="22"/>
          <w:lang w:val="it-IT"/>
        </w:rPr>
      </w:pPr>
      <w:r>
        <w:rPr>
          <w:rFonts w:cs="Arial"/>
          <w:sz w:val="22"/>
          <w:szCs w:val="22"/>
          <w:lang w:val="it-IT"/>
        </w:rPr>
        <w:t>Lucrarile de intretinere sau reparatii se includ in cheltuielile perioadei in care au fost efectuate, iar daca prin acestea se extinde durata de viata a imobilizarilor corporale sau se imbunatatesc performantele activului ,  acestea se capi</w:t>
      </w:r>
      <w:r w:rsidR="0027387E">
        <w:rPr>
          <w:rFonts w:cs="Arial"/>
          <w:sz w:val="22"/>
          <w:szCs w:val="22"/>
          <w:lang w:val="it-IT"/>
        </w:rPr>
        <w:t xml:space="preserve">talizeaza prin inregistrarea lor </w:t>
      </w:r>
      <w:r>
        <w:rPr>
          <w:rFonts w:cs="Arial"/>
          <w:sz w:val="22"/>
          <w:szCs w:val="22"/>
          <w:lang w:val="it-IT"/>
        </w:rPr>
        <w:t xml:space="preserve"> ca imobilizari , urmand ca recuperarea lor sa se faca pe calea amortizarii.</w:t>
      </w:r>
    </w:p>
    <w:p w:rsidR="00171B69" w:rsidRDefault="00171B69" w:rsidP="00171B69">
      <w:pPr>
        <w:rPr>
          <w:rFonts w:cs="Arial"/>
          <w:sz w:val="22"/>
          <w:szCs w:val="22"/>
          <w:lang w:val="it-IT"/>
        </w:rPr>
      </w:pPr>
    </w:p>
    <w:p w:rsidR="00171B69" w:rsidRDefault="00171B69" w:rsidP="00171B69">
      <w:pPr>
        <w:rPr>
          <w:rFonts w:cs="Arial"/>
          <w:sz w:val="22"/>
          <w:szCs w:val="22"/>
          <w:lang w:val="it-IT"/>
        </w:rPr>
      </w:pPr>
      <w:r>
        <w:rPr>
          <w:rFonts w:cs="Arial"/>
          <w:sz w:val="22"/>
          <w:szCs w:val="22"/>
          <w:lang w:val="it-IT"/>
        </w:rPr>
        <w:t>Informatii referitoare la imobilizarile corporale ale societatii sunt prezentate in nota 1.</w:t>
      </w:r>
    </w:p>
    <w:p w:rsidR="00171B69" w:rsidRDefault="00171B69" w:rsidP="00171B69">
      <w:pPr>
        <w:rPr>
          <w:rFonts w:cs="Arial"/>
          <w:sz w:val="22"/>
          <w:szCs w:val="22"/>
          <w:lang w:val="it-IT"/>
        </w:rPr>
      </w:pPr>
    </w:p>
    <w:p w:rsidR="0027387E" w:rsidRDefault="0027387E" w:rsidP="00171B69">
      <w:pPr>
        <w:rPr>
          <w:rFonts w:cs="Arial"/>
          <w:sz w:val="22"/>
          <w:szCs w:val="22"/>
          <w:lang w:val="it-IT"/>
        </w:rPr>
      </w:pPr>
    </w:p>
    <w:p w:rsidR="00171B69" w:rsidRDefault="00171B69" w:rsidP="00171B69">
      <w:pPr>
        <w:rPr>
          <w:rFonts w:cs="Arial"/>
          <w:b/>
          <w:sz w:val="22"/>
          <w:szCs w:val="22"/>
          <w:lang w:val="it-IT"/>
        </w:rPr>
      </w:pPr>
      <w:r>
        <w:rPr>
          <w:rFonts w:cs="Arial"/>
          <w:b/>
          <w:sz w:val="22"/>
          <w:szCs w:val="22"/>
          <w:lang w:val="it-IT"/>
        </w:rPr>
        <w:t>Amortizarea imobilizarilor corporale</w:t>
      </w:r>
    </w:p>
    <w:p w:rsidR="00171B69" w:rsidRDefault="00171B69" w:rsidP="00171B69">
      <w:pPr>
        <w:rPr>
          <w:rFonts w:cs="Arial"/>
          <w:b/>
          <w:sz w:val="22"/>
          <w:szCs w:val="22"/>
          <w:lang w:val="it-IT"/>
        </w:rPr>
      </w:pPr>
    </w:p>
    <w:p w:rsidR="00171B69" w:rsidRDefault="00171B69" w:rsidP="00171B69">
      <w:pPr>
        <w:rPr>
          <w:rFonts w:cs="Arial"/>
          <w:sz w:val="22"/>
          <w:szCs w:val="22"/>
          <w:lang w:val="it-IT"/>
        </w:rPr>
      </w:pPr>
      <w:r>
        <w:rPr>
          <w:rFonts w:cs="Arial"/>
          <w:sz w:val="22"/>
          <w:szCs w:val="22"/>
          <w:lang w:val="it-IT"/>
        </w:rPr>
        <w:t>Amortizarea imobilizarilor corporale se face dupa metoda liniara, calculata la valoarea de intrare, pe toata durata normala de functionare a activului.</w:t>
      </w:r>
    </w:p>
    <w:p w:rsidR="00171B69" w:rsidRDefault="00171B69" w:rsidP="00171B69">
      <w:pPr>
        <w:rPr>
          <w:rFonts w:cs="Arial"/>
          <w:sz w:val="22"/>
          <w:szCs w:val="22"/>
          <w:lang w:val="it-IT"/>
        </w:rPr>
      </w:pPr>
    </w:p>
    <w:p w:rsidR="00171B69" w:rsidRDefault="00171B69" w:rsidP="00171B69">
      <w:pPr>
        <w:rPr>
          <w:rFonts w:cs="Arial"/>
          <w:sz w:val="22"/>
          <w:szCs w:val="22"/>
          <w:lang w:val="it-IT"/>
        </w:rPr>
      </w:pPr>
      <w:r>
        <w:rPr>
          <w:rFonts w:cs="Arial"/>
          <w:sz w:val="22"/>
          <w:szCs w:val="22"/>
          <w:lang w:val="it-IT"/>
        </w:rPr>
        <w:t>Duratele de amortizare, pe categorii de imobilizari sunt urmatoarele:</w:t>
      </w:r>
    </w:p>
    <w:p w:rsidR="00171B69" w:rsidRDefault="00171B69" w:rsidP="00171B69">
      <w:pPr>
        <w:rPr>
          <w:rFonts w:cs="Arial"/>
          <w:sz w:val="22"/>
          <w:szCs w:val="22"/>
          <w:lang w:val="it-IT"/>
        </w:rPr>
      </w:pPr>
    </w:p>
    <w:p w:rsidR="00171B69" w:rsidRPr="00EF3FB5" w:rsidRDefault="00171B69" w:rsidP="00171B69">
      <w:pPr>
        <w:rPr>
          <w:rFonts w:cs="Arial"/>
          <w:sz w:val="22"/>
          <w:szCs w:val="22"/>
          <w:lang w:val="it-IT"/>
        </w:rPr>
      </w:pPr>
      <w:r w:rsidRPr="00EF3FB5">
        <w:rPr>
          <w:rFonts w:cs="Arial"/>
          <w:sz w:val="22"/>
          <w:szCs w:val="22"/>
          <w:lang w:val="it-IT"/>
        </w:rPr>
        <w:t xml:space="preserve">Cladiri- </w:t>
      </w:r>
      <w:r w:rsidRPr="00EF3FB5">
        <w:rPr>
          <w:rFonts w:cs="Arial"/>
          <w:sz w:val="22"/>
          <w:szCs w:val="22"/>
          <w:lang w:val="it-IT"/>
        </w:rPr>
        <w:tab/>
      </w:r>
      <w:r w:rsidRPr="00EF3FB5">
        <w:rPr>
          <w:rFonts w:cs="Arial"/>
          <w:sz w:val="22"/>
          <w:szCs w:val="22"/>
          <w:lang w:val="it-IT"/>
        </w:rPr>
        <w:tab/>
      </w:r>
      <w:r w:rsidRPr="00EF3FB5">
        <w:rPr>
          <w:rFonts w:cs="Arial"/>
          <w:sz w:val="22"/>
          <w:szCs w:val="22"/>
          <w:lang w:val="it-IT"/>
        </w:rPr>
        <w:tab/>
        <w:t xml:space="preserve">        </w:t>
      </w:r>
      <w:r>
        <w:rPr>
          <w:rFonts w:cs="Arial"/>
          <w:sz w:val="22"/>
          <w:szCs w:val="22"/>
          <w:lang w:val="it-IT"/>
        </w:rPr>
        <w:t xml:space="preserve"> </w:t>
      </w:r>
      <w:r w:rsidRPr="00EF3FB5">
        <w:rPr>
          <w:rFonts w:cs="Arial"/>
          <w:sz w:val="22"/>
          <w:szCs w:val="22"/>
          <w:lang w:val="it-IT"/>
        </w:rPr>
        <w:t xml:space="preserve">  40-60 ani</w:t>
      </w:r>
    </w:p>
    <w:p w:rsidR="00171B69" w:rsidRPr="00EF3FB5" w:rsidRDefault="00171B69" w:rsidP="00171B69">
      <w:pPr>
        <w:rPr>
          <w:rFonts w:cs="Arial"/>
          <w:sz w:val="22"/>
          <w:szCs w:val="22"/>
          <w:lang w:val="it-IT"/>
        </w:rPr>
      </w:pPr>
      <w:r w:rsidRPr="00EF3FB5">
        <w:rPr>
          <w:rFonts w:cs="Arial"/>
          <w:sz w:val="22"/>
          <w:szCs w:val="22"/>
          <w:lang w:val="it-IT"/>
        </w:rPr>
        <w:t xml:space="preserve">Echipamente tehnologice- </w:t>
      </w:r>
      <w:r w:rsidRPr="00EF3FB5">
        <w:rPr>
          <w:rFonts w:cs="Arial"/>
          <w:sz w:val="22"/>
          <w:szCs w:val="22"/>
          <w:lang w:val="it-IT"/>
        </w:rPr>
        <w:tab/>
        <w:t xml:space="preserve">    </w:t>
      </w:r>
      <w:r w:rsidRPr="00EF3FB5">
        <w:rPr>
          <w:rFonts w:cs="Arial"/>
          <w:sz w:val="22"/>
          <w:szCs w:val="22"/>
          <w:lang w:val="it-IT"/>
        </w:rPr>
        <w:tab/>
      </w:r>
      <w:r>
        <w:rPr>
          <w:rFonts w:cs="Arial"/>
          <w:sz w:val="22"/>
          <w:szCs w:val="22"/>
          <w:lang w:val="it-IT"/>
        </w:rPr>
        <w:t xml:space="preserve"> </w:t>
      </w:r>
      <w:r w:rsidRPr="00EF3FB5">
        <w:rPr>
          <w:rFonts w:cs="Arial"/>
          <w:sz w:val="22"/>
          <w:szCs w:val="22"/>
          <w:lang w:val="it-IT"/>
        </w:rPr>
        <w:t>9-15  ani</w:t>
      </w:r>
    </w:p>
    <w:p w:rsidR="00171B69" w:rsidRPr="00EF3FB5" w:rsidRDefault="00171B69" w:rsidP="00171B69">
      <w:pPr>
        <w:rPr>
          <w:rFonts w:cs="Arial"/>
          <w:sz w:val="22"/>
          <w:szCs w:val="22"/>
          <w:lang w:val="it-IT"/>
        </w:rPr>
      </w:pPr>
      <w:r w:rsidRPr="00EF3FB5">
        <w:rPr>
          <w:rFonts w:cs="Arial"/>
          <w:sz w:val="22"/>
          <w:szCs w:val="22"/>
          <w:lang w:val="it-IT"/>
        </w:rPr>
        <w:t>Mijloace de transport</w:t>
      </w:r>
      <w:r w:rsidRPr="00EF3FB5">
        <w:rPr>
          <w:rFonts w:cs="Arial"/>
          <w:sz w:val="22"/>
          <w:szCs w:val="22"/>
          <w:lang w:val="it-IT"/>
        </w:rPr>
        <w:tab/>
      </w:r>
      <w:r w:rsidRPr="00EF3FB5">
        <w:rPr>
          <w:rFonts w:cs="Arial"/>
          <w:sz w:val="22"/>
          <w:szCs w:val="22"/>
          <w:lang w:val="it-IT"/>
        </w:rPr>
        <w:tab/>
        <w:t xml:space="preserve">         </w:t>
      </w:r>
      <w:r>
        <w:rPr>
          <w:rFonts w:cs="Arial"/>
          <w:sz w:val="22"/>
          <w:szCs w:val="22"/>
          <w:lang w:val="it-IT"/>
        </w:rPr>
        <w:t xml:space="preserve"> </w:t>
      </w:r>
      <w:r w:rsidRPr="00EF3FB5">
        <w:rPr>
          <w:rFonts w:cs="Arial"/>
          <w:sz w:val="22"/>
          <w:szCs w:val="22"/>
          <w:lang w:val="it-IT"/>
        </w:rPr>
        <w:t xml:space="preserve">   4- 6  ani</w:t>
      </w:r>
    </w:p>
    <w:p w:rsidR="00171B69" w:rsidRPr="00EF3FB5" w:rsidRDefault="00171B69" w:rsidP="00171B69">
      <w:pPr>
        <w:rPr>
          <w:rFonts w:cs="Arial"/>
          <w:sz w:val="22"/>
          <w:szCs w:val="22"/>
          <w:lang w:val="it-IT"/>
        </w:rPr>
      </w:pPr>
      <w:r w:rsidRPr="00EF3FB5">
        <w:rPr>
          <w:rFonts w:cs="Arial"/>
          <w:sz w:val="22"/>
          <w:szCs w:val="22"/>
          <w:lang w:val="it-IT"/>
        </w:rPr>
        <w:t>Alte instalatii, mobilier</w:t>
      </w:r>
      <w:r w:rsidRPr="00EF3FB5">
        <w:rPr>
          <w:rFonts w:cs="Arial"/>
          <w:sz w:val="22"/>
          <w:szCs w:val="22"/>
          <w:lang w:val="it-IT"/>
        </w:rPr>
        <w:tab/>
      </w:r>
      <w:r w:rsidRPr="00EF3FB5">
        <w:rPr>
          <w:rFonts w:cs="Arial"/>
          <w:sz w:val="22"/>
          <w:szCs w:val="22"/>
          <w:lang w:val="it-IT"/>
        </w:rPr>
        <w:tab/>
        <w:t xml:space="preserve">          </w:t>
      </w:r>
      <w:r>
        <w:rPr>
          <w:rFonts w:cs="Arial"/>
          <w:sz w:val="22"/>
          <w:szCs w:val="22"/>
          <w:lang w:val="it-IT"/>
        </w:rPr>
        <w:t xml:space="preserve"> </w:t>
      </w:r>
      <w:r w:rsidRPr="00EF3FB5">
        <w:rPr>
          <w:rFonts w:cs="Arial"/>
          <w:sz w:val="22"/>
          <w:szCs w:val="22"/>
          <w:lang w:val="it-IT"/>
        </w:rPr>
        <w:t xml:space="preserve"> 9-15  ani</w:t>
      </w:r>
    </w:p>
    <w:p w:rsidR="00171B69" w:rsidRDefault="00171B69" w:rsidP="00171B69">
      <w:pPr>
        <w:rPr>
          <w:rFonts w:cs="Arial"/>
          <w:sz w:val="22"/>
          <w:szCs w:val="22"/>
          <w:lang w:val="it-IT"/>
        </w:rPr>
      </w:pPr>
      <w:r w:rsidRPr="00EF3FB5">
        <w:rPr>
          <w:rFonts w:cs="Arial"/>
          <w:sz w:val="22"/>
          <w:szCs w:val="22"/>
          <w:lang w:val="it-IT"/>
        </w:rPr>
        <w:t>Imobilizari in curs</w:t>
      </w:r>
      <w:r w:rsidRPr="00EF3FB5">
        <w:rPr>
          <w:rFonts w:cs="Arial"/>
          <w:sz w:val="22"/>
          <w:szCs w:val="22"/>
          <w:lang w:val="it-IT"/>
        </w:rPr>
        <w:tab/>
      </w:r>
      <w:r w:rsidRPr="00EF3FB5">
        <w:rPr>
          <w:rFonts w:cs="Arial"/>
          <w:sz w:val="22"/>
          <w:szCs w:val="22"/>
          <w:lang w:val="it-IT"/>
        </w:rPr>
        <w:tab/>
      </w:r>
      <w:r w:rsidRPr="00EF3FB5">
        <w:rPr>
          <w:rFonts w:cs="Arial"/>
          <w:sz w:val="22"/>
          <w:szCs w:val="22"/>
          <w:lang w:val="it-IT"/>
        </w:rPr>
        <w:tab/>
        <w:t>nu se amortizeaza</w:t>
      </w:r>
    </w:p>
    <w:p w:rsidR="00171B69" w:rsidRDefault="00171B69" w:rsidP="00171B69">
      <w:pPr>
        <w:rPr>
          <w:rFonts w:cs="Arial"/>
          <w:sz w:val="22"/>
          <w:szCs w:val="22"/>
          <w:lang w:val="it-IT"/>
        </w:rPr>
      </w:pPr>
    </w:p>
    <w:p w:rsidR="00171B69" w:rsidRDefault="00171B69" w:rsidP="00171B69">
      <w:pPr>
        <w:rPr>
          <w:rFonts w:cs="Arial"/>
          <w:sz w:val="22"/>
          <w:szCs w:val="22"/>
          <w:lang w:val="it-IT"/>
        </w:rPr>
      </w:pPr>
    </w:p>
    <w:p w:rsidR="00171B69" w:rsidRDefault="00171B69" w:rsidP="00171B69">
      <w:pPr>
        <w:numPr>
          <w:ilvl w:val="0"/>
          <w:numId w:val="14"/>
        </w:numPr>
        <w:suppressAutoHyphens w:val="0"/>
        <w:ind w:left="0" w:firstLine="0"/>
        <w:jc w:val="both"/>
        <w:rPr>
          <w:rFonts w:cs="Arial"/>
          <w:b/>
          <w:sz w:val="22"/>
          <w:szCs w:val="22"/>
          <w:lang w:val="it-IT"/>
        </w:rPr>
      </w:pPr>
      <w:r>
        <w:rPr>
          <w:rFonts w:cs="Arial"/>
          <w:b/>
          <w:sz w:val="22"/>
          <w:szCs w:val="22"/>
          <w:lang w:val="it-IT"/>
        </w:rPr>
        <w:t>Stocuri</w:t>
      </w:r>
    </w:p>
    <w:p w:rsidR="00171B69" w:rsidRDefault="00171B69" w:rsidP="00171B69">
      <w:pPr>
        <w:rPr>
          <w:rFonts w:cs="Arial"/>
          <w:b/>
          <w:sz w:val="22"/>
          <w:szCs w:val="22"/>
          <w:lang w:val="it-IT"/>
        </w:rPr>
      </w:pPr>
    </w:p>
    <w:p w:rsidR="00171B69" w:rsidRDefault="00171B69" w:rsidP="00171B69">
      <w:pPr>
        <w:rPr>
          <w:rFonts w:cs="Arial"/>
          <w:sz w:val="22"/>
          <w:szCs w:val="22"/>
          <w:lang w:val="it-IT"/>
        </w:rPr>
      </w:pPr>
      <w:r>
        <w:rPr>
          <w:rFonts w:cs="Arial"/>
          <w:sz w:val="22"/>
          <w:szCs w:val="22"/>
          <w:lang w:val="it-IT"/>
        </w:rPr>
        <w:t>Stocurile de produse finite sunt inregistrate la pret de catalog . Diferentele de pret fata de pretul de productie sunt evidentiate separat , fiind recunoscute in costul activului. In bilant  soldurile conturilor de diferente se cumuleaza cu soldurile conturilor de stocuri.</w:t>
      </w:r>
    </w:p>
    <w:p w:rsidR="00171B69" w:rsidRDefault="00171B69" w:rsidP="00171B69">
      <w:pPr>
        <w:rPr>
          <w:rFonts w:cs="Arial"/>
          <w:sz w:val="22"/>
          <w:szCs w:val="22"/>
          <w:lang w:val="it-IT"/>
        </w:rPr>
      </w:pPr>
    </w:p>
    <w:p w:rsidR="00171B69" w:rsidRDefault="00171B69" w:rsidP="00171B69">
      <w:pPr>
        <w:rPr>
          <w:rFonts w:cs="Arial"/>
          <w:sz w:val="22"/>
          <w:szCs w:val="22"/>
          <w:lang w:val="it-IT"/>
        </w:rPr>
      </w:pPr>
      <w:r>
        <w:rPr>
          <w:rFonts w:cs="Arial"/>
          <w:sz w:val="22"/>
          <w:szCs w:val="22"/>
          <w:lang w:val="it-IT"/>
        </w:rPr>
        <w:t>Stocurile productiei in curs sunt inregistrate la costul total de productie (materiale directe, salarii directe, alte cheltuieli directe, cheltuieli indirecte, inclusiv cele generale).</w:t>
      </w:r>
    </w:p>
    <w:p w:rsidR="00171B69" w:rsidRDefault="00171B69" w:rsidP="00171B69">
      <w:pPr>
        <w:rPr>
          <w:rFonts w:cs="Arial"/>
          <w:sz w:val="22"/>
          <w:szCs w:val="22"/>
          <w:lang w:val="it-IT"/>
        </w:rPr>
      </w:pPr>
    </w:p>
    <w:p w:rsidR="00171B69" w:rsidRDefault="00171B69" w:rsidP="00171B69">
      <w:pPr>
        <w:rPr>
          <w:rFonts w:cs="Arial"/>
          <w:sz w:val="22"/>
          <w:szCs w:val="22"/>
          <w:lang w:val="it-IT"/>
        </w:rPr>
      </w:pPr>
      <w:r>
        <w:rPr>
          <w:rFonts w:cs="Arial"/>
          <w:sz w:val="22"/>
          <w:szCs w:val="22"/>
          <w:lang w:val="it-IT"/>
        </w:rPr>
        <w:t xml:space="preserve">Stocurile privind materii prime si marfuri sunt evaluate </w:t>
      </w:r>
      <w:r w:rsidRPr="00A47DF8">
        <w:rPr>
          <w:rFonts w:cs="Arial"/>
          <w:sz w:val="22"/>
          <w:szCs w:val="22"/>
          <w:lang w:val="it-IT"/>
        </w:rPr>
        <w:t>la cost de achizitie</w:t>
      </w:r>
      <w:r>
        <w:rPr>
          <w:rFonts w:cs="Arial"/>
          <w:sz w:val="22"/>
          <w:szCs w:val="22"/>
          <w:lang w:val="it-IT"/>
        </w:rPr>
        <w:t xml:space="preserve">  Exista constituite si inregistrate  ajustari  de stocuri  .</w:t>
      </w:r>
    </w:p>
    <w:p w:rsidR="00171B69" w:rsidRDefault="00171B69" w:rsidP="00171B69">
      <w:pPr>
        <w:rPr>
          <w:rFonts w:cs="Arial"/>
          <w:sz w:val="22"/>
          <w:szCs w:val="22"/>
          <w:lang w:val="it-IT"/>
        </w:rPr>
      </w:pPr>
    </w:p>
    <w:p w:rsidR="00171B69" w:rsidRDefault="00171B69" w:rsidP="00171B69">
      <w:pPr>
        <w:rPr>
          <w:rFonts w:cs="Arial"/>
          <w:sz w:val="22"/>
          <w:szCs w:val="22"/>
          <w:lang w:val="it-IT"/>
        </w:rPr>
      </w:pPr>
      <w:r>
        <w:rPr>
          <w:rFonts w:cs="Arial"/>
          <w:sz w:val="22"/>
          <w:szCs w:val="22"/>
          <w:lang w:val="it-IT"/>
        </w:rPr>
        <w:t>La scoaterea din gestiune se foloseste metoda FIFO pentru calcularea costurilor cu incidenta asupra contului de rezultate.</w:t>
      </w:r>
    </w:p>
    <w:p w:rsidR="0027387E" w:rsidRDefault="0027387E" w:rsidP="00171B69">
      <w:pPr>
        <w:rPr>
          <w:rFonts w:cs="Arial"/>
          <w:sz w:val="22"/>
          <w:szCs w:val="22"/>
          <w:lang w:val="it-IT"/>
        </w:rPr>
      </w:pPr>
    </w:p>
    <w:p w:rsidR="00171B69" w:rsidRDefault="00171B69" w:rsidP="00171B69">
      <w:pPr>
        <w:rPr>
          <w:rFonts w:cs="Arial"/>
          <w:sz w:val="22"/>
          <w:szCs w:val="22"/>
          <w:lang w:val="it-IT"/>
        </w:rPr>
      </w:pPr>
    </w:p>
    <w:p w:rsidR="00171B69" w:rsidRDefault="00171B69" w:rsidP="00171B69">
      <w:pPr>
        <w:numPr>
          <w:ilvl w:val="0"/>
          <w:numId w:val="14"/>
        </w:numPr>
        <w:suppressAutoHyphens w:val="0"/>
        <w:ind w:left="0" w:firstLine="0"/>
        <w:jc w:val="both"/>
        <w:rPr>
          <w:rFonts w:cs="Arial"/>
          <w:b/>
          <w:sz w:val="22"/>
          <w:szCs w:val="22"/>
          <w:lang w:val="it-IT"/>
        </w:rPr>
      </w:pPr>
      <w:r>
        <w:rPr>
          <w:rFonts w:cs="Arial"/>
          <w:b/>
          <w:sz w:val="22"/>
          <w:szCs w:val="22"/>
          <w:lang w:val="it-IT"/>
        </w:rPr>
        <w:t>Recunoasterea veniturilor si cheltuielilor</w:t>
      </w:r>
    </w:p>
    <w:p w:rsidR="00171B69" w:rsidRDefault="00171B69" w:rsidP="00171B69">
      <w:pPr>
        <w:rPr>
          <w:rFonts w:cs="Arial"/>
          <w:sz w:val="22"/>
          <w:szCs w:val="22"/>
          <w:lang w:val="it-IT"/>
        </w:rPr>
      </w:pPr>
    </w:p>
    <w:p w:rsidR="00171B69" w:rsidRDefault="00171B69" w:rsidP="00171B69">
      <w:pPr>
        <w:rPr>
          <w:rFonts w:cs="Arial"/>
          <w:sz w:val="22"/>
          <w:szCs w:val="22"/>
          <w:lang w:val="it-IT"/>
        </w:rPr>
      </w:pPr>
      <w:r>
        <w:rPr>
          <w:rFonts w:cs="Arial"/>
          <w:sz w:val="22"/>
          <w:szCs w:val="22"/>
          <w:lang w:val="it-IT"/>
        </w:rPr>
        <w:t xml:space="preserve">Veniturile sunt recunoscute in momentul realizarii lor. </w:t>
      </w:r>
    </w:p>
    <w:p w:rsidR="00171B69" w:rsidRDefault="00171B69" w:rsidP="00171B69">
      <w:pPr>
        <w:rPr>
          <w:rFonts w:cs="Arial"/>
          <w:sz w:val="22"/>
          <w:szCs w:val="22"/>
          <w:lang w:val="it-IT"/>
        </w:rPr>
      </w:pPr>
    </w:p>
    <w:p w:rsidR="00171B69" w:rsidRDefault="00171B69" w:rsidP="00171B69">
      <w:pPr>
        <w:rPr>
          <w:rFonts w:cs="Arial"/>
          <w:sz w:val="22"/>
          <w:szCs w:val="22"/>
          <w:lang w:val="it-IT"/>
        </w:rPr>
      </w:pPr>
      <w:r>
        <w:rPr>
          <w:rFonts w:cs="Arial"/>
          <w:sz w:val="22"/>
          <w:szCs w:val="22"/>
          <w:lang w:val="it-IT"/>
        </w:rPr>
        <w:t>Cifra de afaceri este realizata pe seama vanzarilor de produse finite, venituri din chirii  si venituri din  prestari de servicii catre terti.</w:t>
      </w:r>
    </w:p>
    <w:p w:rsidR="00171B69" w:rsidRDefault="00171B69" w:rsidP="00171B69">
      <w:pPr>
        <w:rPr>
          <w:rFonts w:cs="Arial"/>
          <w:sz w:val="22"/>
          <w:szCs w:val="22"/>
          <w:lang w:val="it-IT"/>
        </w:rPr>
      </w:pPr>
    </w:p>
    <w:p w:rsidR="00171B69" w:rsidRDefault="00171B69" w:rsidP="00171B69">
      <w:pPr>
        <w:rPr>
          <w:rFonts w:cs="Arial"/>
          <w:sz w:val="22"/>
          <w:szCs w:val="22"/>
          <w:lang w:val="it-IT"/>
        </w:rPr>
      </w:pPr>
      <w:r>
        <w:rPr>
          <w:rFonts w:cs="Arial"/>
          <w:sz w:val="22"/>
          <w:szCs w:val="22"/>
          <w:lang w:val="it-IT"/>
        </w:rPr>
        <w:t>Cheltuielile sunt recunoscute in contul de profit si pierdere in momentul angajarii lor pe baza documentelor justificative conform legii, respectandu-se principiul conectarii cheltuielilor cu veniturile care le-au generat.</w:t>
      </w:r>
    </w:p>
    <w:p w:rsidR="00171B69" w:rsidRDefault="00171B69" w:rsidP="00171B69">
      <w:pPr>
        <w:rPr>
          <w:rFonts w:cs="Arial"/>
          <w:sz w:val="22"/>
          <w:szCs w:val="22"/>
          <w:lang w:val="it-IT"/>
        </w:rPr>
      </w:pPr>
    </w:p>
    <w:p w:rsidR="00171B69" w:rsidRDefault="00171B69" w:rsidP="00171B69">
      <w:pPr>
        <w:rPr>
          <w:rFonts w:cs="Arial"/>
          <w:sz w:val="22"/>
          <w:szCs w:val="22"/>
          <w:lang w:val="it-IT"/>
        </w:rPr>
      </w:pPr>
      <w:r>
        <w:rPr>
          <w:rFonts w:cs="Arial"/>
          <w:sz w:val="22"/>
          <w:szCs w:val="22"/>
          <w:lang w:val="it-IT"/>
        </w:rPr>
        <w:t>Costurile cu doba</w:t>
      </w:r>
      <w:r w:rsidRPr="002A333F">
        <w:rPr>
          <w:rFonts w:cs="Arial"/>
          <w:sz w:val="22"/>
          <w:szCs w:val="22"/>
          <w:lang w:val="it-IT"/>
        </w:rPr>
        <w:t>nzile aferente tuturor imprumuturilor sunt trecute pe cheltuieli la data scadentei.</w:t>
      </w:r>
    </w:p>
    <w:p w:rsidR="00171B69" w:rsidRDefault="00171B69" w:rsidP="00171B69">
      <w:pPr>
        <w:rPr>
          <w:rFonts w:cs="Arial"/>
          <w:sz w:val="22"/>
          <w:szCs w:val="22"/>
          <w:lang w:val="it-IT"/>
        </w:rPr>
      </w:pPr>
    </w:p>
    <w:p w:rsidR="0027387E" w:rsidRPr="002A333F" w:rsidRDefault="0027387E" w:rsidP="00171B69">
      <w:pPr>
        <w:rPr>
          <w:rFonts w:cs="Arial"/>
          <w:sz w:val="22"/>
          <w:szCs w:val="22"/>
          <w:lang w:val="it-IT"/>
        </w:rPr>
      </w:pPr>
    </w:p>
    <w:p w:rsidR="00171B69" w:rsidRDefault="00171B69" w:rsidP="00171B69">
      <w:pPr>
        <w:numPr>
          <w:ilvl w:val="0"/>
          <w:numId w:val="14"/>
        </w:numPr>
        <w:suppressAutoHyphens w:val="0"/>
        <w:ind w:left="0" w:firstLine="0"/>
        <w:jc w:val="both"/>
        <w:rPr>
          <w:rFonts w:cs="Arial"/>
          <w:b/>
          <w:sz w:val="22"/>
          <w:szCs w:val="22"/>
          <w:lang w:val="it-IT"/>
        </w:rPr>
      </w:pPr>
      <w:r>
        <w:rPr>
          <w:rFonts w:cs="Arial"/>
          <w:b/>
          <w:sz w:val="22"/>
          <w:szCs w:val="22"/>
          <w:lang w:val="it-IT"/>
        </w:rPr>
        <w:t>Impozitul pe profit</w:t>
      </w:r>
    </w:p>
    <w:p w:rsidR="00171B69" w:rsidRDefault="00171B69" w:rsidP="00171B69">
      <w:pPr>
        <w:rPr>
          <w:rFonts w:cs="Arial"/>
          <w:b/>
          <w:sz w:val="22"/>
          <w:szCs w:val="22"/>
          <w:lang w:val="it-IT"/>
        </w:rPr>
      </w:pPr>
    </w:p>
    <w:p w:rsidR="00171B69" w:rsidRDefault="00171B69" w:rsidP="00171B69">
      <w:pPr>
        <w:rPr>
          <w:rFonts w:cs="Arial"/>
          <w:sz w:val="22"/>
          <w:szCs w:val="22"/>
          <w:lang w:val="it-IT"/>
        </w:rPr>
      </w:pPr>
      <w:r w:rsidRPr="002A333F">
        <w:rPr>
          <w:rFonts w:cs="Arial"/>
          <w:sz w:val="22"/>
          <w:szCs w:val="22"/>
          <w:lang w:val="it-IT"/>
        </w:rPr>
        <w:t>Societatea inregistreaza impozitul pe profit curent pe baza profitului fiscal impozabil, asa cum cere legislatia romaneasca referitoare la impozitul pe profit.</w:t>
      </w:r>
    </w:p>
    <w:p w:rsidR="00171B69" w:rsidRPr="002A333F" w:rsidRDefault="00171B69" w:rsidP="00171B69">
      <w:pPr>
        <w:rPr>
          <w:rFonts w:cs="Arial"/>
          <w:sz w:val="22"/>
          <w:szCs w:val="22"/>
          <w:lang w:val="it-IT"/>
        </w:rPr>
      </w:pPr>
    </w:p>
    <w:p w:rsidR="00171B69" w:rsidRDefault="00171B69" w:rsidP="00171B69">
      <w:pPr>
        <w:rPr>
          <w:rFonts w:cs="Arial"/>
          <w:sz w:val="22"/>
          <w:szCs w:val="22"/>
          <w:lang w:val="ro-RO"/>
        </w:rPr>
      </w:pPr>
      <w:r>
        <w:rPr>
          <w:rFonts w:cs="Arial"/>
          <w:sz w:val="22"/>
          <w:szCs w:val="22"/>
          <w:lang w:val="ro-RO"/>
        </w:rPr>
        <w:t xml:space="preserve">Impozitul pe profit se </w:t>
      </w:r>
      <w:r w:rsidRPr="002A333F">
        <w:rPr>
          <w:rFonts w:cs="Arial"/>
          <w:sz w:val="22"/>
          <w:szCs w:val="22"/>
          <w:lang w:val="ro-RO"/>
        </w:rPr>
        <w:t xml:space="preserve"> calcul</w:t>
      </w:r>
      <w:r>
        <w:rPr>
          <w:rFonts w:cs="Arial"/>
          <w:sz w:val="22"/>
          <w:szCs w:val="22"/>
          <w:lang w:val="ro-RO"/>
        </w:rPr>
        <w:t>eaza prin aplicarea cotei</w:t>
      </w:r>
      <w:r w:rsidRPr="002A333F">
        <w:rPr>
          <w:rFonts w:cs="Arial"/>
          <w:sz w:val="22"/>
          <w:szCs w:val="22"/>
          <w:lang w:val="ro-RO"/>
        </w:rPr>
        <w:t xml:space="preserve"> de impozitare a</w:t>
      </w:r>
      <w:r>
        <w:rPr>
          <w:rFonts w:cs="Arial"/>
          <w:sz w:val="22"/>
          <w:szCs w:val="22"/>
          <w:lang w:val="ro-RO"/>
        </w:rPr>
        <w:t>supra  bazei</w:t>
      </w:r>
      <w:r w:rsidRPr="002A333F">
        <w:rPr>
          <w:rFonts w:cs="Arial"/>
          <w:sz w:val="22"/>
          <w:szCs w:val="22"/>
          <w:lang w:val="ro-RO"/>
        </w:rPr>
        <w:t xml:space="preserve"> de impozitare </w:t>
      </w:r>
      <w:r>
        <w:rPr>
          <w:rFonts w:cs="Arial"/>
          <w:sz w:val="22"/>
          <w:szCs w:val="22"/>
          <w:lang w:val="ro-RO"/>
        </w:rPr>
        <w:t xml:space="preserve">respectiv  o </w:t>
      </w:r>
      <w:r w:rsidRPr="002A333F">
        <w:rPr>
          <w:rFonts w:cs="Arial"/>
          <w:sz w:val="22"/>
          <w:szCs w:val="22"/>
          <w:lang w:val="ro-RO"/>
        </w:rPr>
        <w:t xml:space="preserve">cota de </w:t>
      </w:r>
      <w:r>
        <w:rPr>
          <w:rFonts w:cs="Arial"/>
          <w:sz w:val="22"/>
          <w:szCs w:val="22"/>
          <w:lang w:val="ro-RO"/>
        </w:rPr>
        <w:t>16</w:t>
      </w:r>
      <w:r w:rsidRPr="002A333F">
        <w:rPr>
          <w:rFonts w:cs="Arial"/>
          <w:sz w:val="22"/>
          <w:szCs w:val="22"/>
          <w:lang w:val="ro-RO"/>
        </w:rPr>
        <w:t>% a</w:t>
      </w:r>
      <w:r>
        <w:rPr>
          <w:rFonts w:cs="Arial"/>
          <w:sz w:val="22"/>
          <w:szCs w:val="22"/>
          <w:lang w:val="ro-RO"/>
        </w:rPr>
        <w:t xml:space="preserve">supra profitului impozabil realizat </w:t>
      </w:r>
    </w:p>
    <w:p w:rsidR="00171B69" w:rsidRPr="002A333F" w:rsidRDefault="00171B69" w:rsidP="00171B69">
      <w:pPr>
        <w:rPr>
          <w:rFonts w:cs="Arial"/>
          <w:sz w:val="22"/>
          <w:szCs w:val="22"/>
          <w:lang w:val="ro-RO"/>
        </w:rPr>
      </w:pPr>
      <w:r w:rsidRPr="002A333F">
        <w:rPr>
          <w:rFonts w:cs="Arial"/>
          <w:sz w:val="22"/>
          <w:szCs w:val="22"/>
          <w:lang w:val="ro-RO"/>
        </w:rPr>
        <w:t xml:space="preserve">Plata impozitului pe profit </w:t>
      </w:r>
      <w:r>
        <w:rPr>
          <w:rFonts w:cs="Arial"/>
          <w:sz w:val="22"/>
          <w:szCs w:val="22"/>
          <w:lang w:val="ro-RO"/>
        </w:rPr>
        <w:t xml:space="preserve"> se face </w:t>
      </w:r>
      <w:r w:rsidRPr="002A333F">
        <w:rPr>
          <w:rFonts w:cs="Arial"/>
          <w:sz w:val="22"/>
          <w:szCs w:val="22"/>
          <w:lang w:val="ro-RO"/>
        </w:rPr>
        <w:t xml:space="preserve"> trimestrial pana in 25 a lunii urmatoare fiecarui </w:t>
      </w:r>
      <w:r>
        <w:rPr>
          <w:rFonts w:cs="Arial"/>
          <w:sz w:val="22"/>
          <w:szCs w:val="22"/>
          <w:lang w:val="ro-RO"/>
        </w:rPr>
        <w:t>t</w:t>
      </w:r>
      <w:r w:rsidRPr="002A333F">
        <w:rPr>
          <w:rFonts w:cs="Arial"/>
          <w:sz w:val="22"/>
          <w:szCs w:val="22"/>
          <w:lang w:val="ro-RO"/>
        </w:rPr>
        <w:t xml:space="preserve">rimestru, iar la incheierea exercitiului se fac regularizari pana la data prevazuta de lege pentru depunerea </w:t>
      </w:r>
      <w:r w:rsidRPr="002A333F">
        <w:rPr>
          <w:rFonts w:cs="Arial"/>
          <w:iCs/>
          <w:sz w:val="22"/>
          <w:szCs w:val="22"/>
          <w:lang w:val="ro-RO"/>
        </w:rPr>
        <w:t>situatiilor financiare</w:t>
      </w:r>
      <w:r w:rsidRPr="002A333F">
        <w:rPr>
          <w:rFonts w:cs="Arial"/>
          <w:sz w:val="22"/>
          <w:szCs w:val="22"/>
          <w:lang w:val="ro-RO"/>
        </w:rPr>
        <w:t>, respectiv a declaratiei anuale de impozit.</w:t>
      </w:r>
    </w:p>
    <w:p w:rsidR="00171B69" w:rsidRPr="002A333F" w:rsidRDefault="00171B69" w:rsidP="00171B69">
      <w:pPr>
        <w:rPr>
          <w:rFonts w:cs="Arial"/>
          <w:sz w:val="22"/>
          <w:szCs w:val="22"/>
          <w:lang w:val="ro-RO"/>
        </w:rPr>
      </w:pPr>
    </w:p>
    <w:p w:rsidR="00171B69" w:rsidRDefault="00171B69" w:rsidP="00171B69">
      <w:pPr>
        <w:rPr>
          <w:rFonts w:cs="Arial"/>
          <w:sz w:val="22"/>
          <w:szCs w:val="22"/>
          <w:lang w:val="ro-RO"/>
        </w:rPr>
      </w:pPr>
    </w:p>
    <w:p w:rsidR="00171B69" w:rsidRDefault="00171B69" w:rsidP="00171B69">
      <w:pPr>
        <w:rPr>
          <w:rFonts w:cs="Arial"/>
          <w:sz w:val="22"/>
          <w:szCs w:val="22"/>
          <w:lang w:val="ro-RO"/>
        </w:rPr>
      </w:pPr>
      <w:r>
        <w:rPr>
          <w:rFonts w:cs="Arial"/>
          <w:sz w:val="22"/>
          <w:szCs w:val="22"/>
          <w:lang w:val="ro-RO"/>
        </w:rPr>
        <w:t xml:space="preserve">DIRECTOR GENERAL                                                             Sef Birou Financiar –Contabilitate </w:t>
      </w:r>
    </w:p>
    <w:p w:rsidR="00A5049C" w:rsidRDefault="00CA4FEA" w:rsidP="00171B69">
      <w:pPr>
        <w:spacing w:before="120"/>
        <w:jc w:val="both"/>
        <w:rPr>
          <w:rFonts w:ascii="Times New Roman" w:hAnsi="Times New Roman"/>
          <w:sz w:val="28"/>
          <w:szCs w:val="28"/>
          <w:u w:val="single"/>
        </w:rPr>
      </w:pPr>
      <w:r>
        <w:rPr>
          <w:rFonts w:cs="Arial"/>
          <w:sz w:val="22"/>
          <w:szCs w:val="22"/>
          <w:lang w:val="ro-RO"/>
        </w:rPr>
        <w:t>Cataranciuc Dan</w:t>
      </w:r>
      <w:r w:rsidR="00171B69">
        <w:rPr>
          <w:rFonts w:cs="Arial"/>
          <w:sz w:val="22"/>
          <w:szCs w:val="22"/>
          <w:lang w:val="ro-RO"/>
        </w:rPr>
        <w:t xml:space="preserve">                                                 </w:t>
      </w:r>
      <w:r w:rsidR="0027387E">
        <w:rPr>
          <w:rFonts w:cs="Arial"/>
          <w:sz w:val="22"/>
          <w:szCs w:val="22"/>
          <w:lang w:val="ro-RO"/>
        </w:rPr>
        <w:tab/>
      </w:r>
      <w:r w:rsidR="0027387E">
        <w:rPr>
          <w:rFonts w:cs="Arial"/>
          <w:sz w:val="22"/>
          <w:szCs w:val="22"/>
          <w:lang w:val="ro-RO"/>
        </w:rPr>
        <w:tab/>
      </w:r>
      <w:r w:rsidR="00171B69">
        <w:rPr>
          <w:rFonts w:cs="Arial"/>
          <w:sz w:val="22"/>
          <w:szCs w:val="22"/>
          <w:lang w:val="ro-RO"/>
        </w:rPr>
        <w:t xml:space="preserve">     Roman Carolina                                </w:t>
      </w:r>
    </w:p>
    <w:sectPr w:rsidR="00A5049C" w:rsidSect="00D02F4E">
      <w:headerReference w:type="default" r:id="rId7"/>
      <w:footerReference w:type="default" r:id="rId8"/>
      <w:pgSz w:w="11905" w:h="16837"/>
      <w:pgMar w:top="737" w:right="1021" w:bottom="567" w:left="1134" w:header="851"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583D" w:rsidRDefault="0062583D">
      <w:r>
        <w:separator/>
      </w:r>
    </w:p>
  </w:endnote>
  <w:endnote w:type="continuationSeparator" w:id="1">
    <w:p w:rsidR="0062583D" w:rsidRDefault="006258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utura Md BT">
    <w:altName w:val="Lucida Sans Unicode"/>
    <w:charset w:val="00"/>
    <w:family w:val="swiss"/>
    <w:pitch w:val="variable"/>
    <w:sig w:usb0="800000AF" w:usb1="1000204A" w:usb2="00000000" w:usb3="00000000" w:csb0="00000011" w:csb1="00000000"/>
  </w:font>
  <w:font w:name="Futura">
    <w:altName w:val="Arial"/>
    <w:charset w:val="00"/>
    <w:family w:val="swiss"/>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1EB" w:rsidRDefault="004D11EB" w:rsidP="004C1149">
    <w:pPr>
      <w:pStyle w:val="Footer"/>
      <w:spacing w:line="40" w:lineRule="atLeast"/>
      <w:rPr>
        <w:rFonts w:cs="Arial"/>
        <w:sz w:val="16"/>
        <w:szCs w:val="16"/>
        <w:lang w:val="it-IT"/>
      </w:rPr>
    </w:pPr>
  </w:p>
  <w:tbl>
    <w:tblPr>
      <w:tblW w:w="10689" w:type="dxa"/>
      <w:tblBorders>
        <w:top w:val="single" w:sz="4" w:space="0" w:color="FF0000"/>
      </w:tblBorders>
      <w:tblCellMar>
        <w:left w:w="57" w:type="dxa"/>
        <w:right w:w="57" w:type="dxa"/>
      </w:tblCellMar>
      <w:tblLook w:val="01E0"/>
    </w:tblPr>
    <w:tblGrid>
      <w:gridCol w:w="1764"/>
      <w:gridCol w:w="5857"/>
      <w:gridCol w:w="3068"/>
    </w:tblGrid>
    <w:tr w:rsidR="004D11EB" w:rsidRPr="00D85CFB" w:rsidTr="00CB5BCC">
      <w:trPr>
        <w:trHeight w:val="1418"/>
      </w:trPr>
      <w:tc>
        <w:tcPr>
          <w:tcW w:w="1724" w:type="dxa"/>
        </w:tcPr>
        <w:p w:rsidR="004D11EB" w:rsidRPr="00D85CFB" w:rsidRDefault="004D11EB" w:rsidP="00D85CFB">
          <w:pPr>
            <w:pStyle w:val="Header"/>
            <w:tabs>
              <w:tab w:val="left" w:pos="5503"/>
              <w:tab w:val="left" w:pos="6884"/>
              <w:tab w:val="left" w:pos="7309"/>
              <w:tab w:val="left" w:pos="8822"/>
            </w:tabs>
            <w:snapToGrid w:val="0"/>
            <w:rPr>
              <w:b/>
              <w:sz w:val="16"/>
              <w:szCs w:val="16"/>
              <w:lang w:val="ro-RO"/>
            </w:rPr>
          </w:pPr>
        </w:p>
        <w:p w:rsidR="0024168D" w:rsidRPr="00D85CFB" w:rsidRDefault="0024168D" w:rsidP="00D85CFB">
          <w:pPr>
            <w:pStyle w:val="Header"/>
            <w:tabs>
              <w:tab w:val="left" w:pos="5503"/>
              <w:tab w:val="left" w:pos="6884"/>
              <w:tab w:val="left" w:pos="7309"/>
              <w:tab w:val="left" w:pos="8822"/>
            </w:tabs>
            <w:snapToGrid w:val="0"/>
            <w:rPr>
              <w:b/>
              <w:sz w:val="16"/>
              <w:szCs w:val="16"/>
              <w:lang w:val="ro-RO"/>
            </w:rPr>
          </w:pPr>
        </w:p>
        <w:p w:rsidR="004D11EB" w:rsidRPr="00D85CFB" w:rsidRDefault="00732C71" w:rsidP="00D85CFB">
          <w:pPr>
            <w:pStyle w:val="Header"/>
            <w:tabs>
              <w:tab w:val="left" w:pos="5503"/>
              <w:tab w:val="left" w:pos="6884"/>
              <w:tab w:val="left" w:pos="7309"/>
              <w:tab w:val="left" w:pos="8822"/>
            </w:tabs>
            <w:snapToGrid w:val="0"/>
            <w:rPr>
              <w:b/>
              <w:sz w:val="16"/>
              <w:szCs w:val="16"/>
              <w:lang w:val="ro-RO"/>
            </w:rPr>
          </w:pPr>
          <w:r>
            <w:rPr>
              <w:b/>
              <w:noProof/>
              <w:sz w:val="16"/>
              <w:szCs w:val="16"/>
              <w:lang w:val="en-US" w:eastAsia="en-US"/>
            </w:rPr>
            <w:drawing>
              <wp:inline distT="0" distB="0" distL="0" distR="0">
                <wp:extent cx="1023620" cy="416560"/>
                <wp:effectExtent l="19050" t="0" r="5080" b="0"/>
                <wp:docPr id="1" name="Picture 1" descr="Sigla Sinter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la Sinterom"/>
                        <pic:cNvPicPr>
                          <a:picLocks noChangeAspect="1" noChangeArrowheads="1"/>
                        </pic:cNvPicPr>
                      </pic:nvPicPr>
                      <pic:blipFill>
                        <a:blip r:embed="rId1"/>
                        <a:srcRect/>
                        <a:stretch>
                          <a:fillRect/>
                        </a:stretch>
                      </pic:blipFill>
                      <pic:spPr bwMode="auto">
                        <a:xfrm>
                          <a:off x="0" y="0"/>
                          <a:ext cx="1023620" cy="416560"/>
                        </a:xfrm>
                        <a:prstGeom prst="rect">
                          <a:avLst/>
                        </a:prstGeom>
                        <a:noFill/>
                        <a:ln w="9525">
                          <a:noFill/>
                          <a:miter lim="800000"/>
                          <a:headEnd/>
                          <a:tailEnd/>
                        </a:ln>
                      </pic:spPr>
                    </pic:pic>
                  </a:graphicData>
                </a:graphic>
              </wp:inline>
            </w:drawing>
          </w:r>
        </w:p>
      </w:tc>
      <w:tc>
        <w:tcPr>
          <w:tcW w:w="5885" w:type="dxa"/>
          <w:vAlign w:val="center"/>
        </w:tcPr>
        <w:p w:rsidR="004D11EB" w:rsidRPr="00D85CFB" w:rsidRDefault="004D11EB" w:rsidP="00D85CFB">
          <w:pPr>
            <w:pStyle w:val="Header"/>
            <w:tabs>
              <w:tab w:val="left" w:pos="5503"/>
              <w:tab w:val="left" w:pos="6884"/>
              <w:tab w:val="left" w:pos="7309"/>
              <w:tab w:val="left" w:pos="8822"/>
            </w:tabs>
            <w:snapToGrid w:val="0"/>
            <w:rPr>
              <w:rFonts w:cs="Arial"/>
              <w:b/>
              <w:sz w:val="16"/>
              <w:szCs w:val="16"/>
              <w:lang w:val="ro-RO"/>
            </w:rPr>
          </w:pPr>
          <w:r w:rsidRPr="00D85CFB">
            <w:rPr>
              <w:b/>
              <w:sz w:val="16"/>
              <w:szCs w:val="16"/>
              <w:lang w:val="ro-RO"/>
            </w:rPr>
            <w:t xml:space="preserve">Reg. </w:t>
          </w:r>
          <w:r w:rsidRPr="00D85CFB">
            <w:rPr>
              <w:rFonts w:cs="Arial"/>
              <w:b/>
              <w:sz w:val="16"/>
              <w:szCs w:val="16"/>
              <w:lang w:val="ro-RO"/>
            </w:rPr>
            <w:t>Com. J12/2750/1991, Cod Unic RO 202123,</w:t>
          </w:r>
        </w:p>
        <w:p w:rsidR="0024168D" w:rsidRPr="00D85CFB" w:rsidRDefault="004D11EB" w:rsidP="00D85CFB">
          <w:pPr>
            <w:pStyle w:val="Header"/>
            <w:tabs>
              <w:tab w:val="left" w:pos="5503"/>
              <w:tab w:val="left" w:pos="6884"/>
              <w:tab w:val="left" w:pos="7309"/>
              <w:tab w:val="left" w:pos="8822"/>
            </w:tabs>
            <w:snapToGrid w:val="0"/>
            <w:rPr>
              <w:rFonts w:cs="Arial"/>
              <w:b/>
              <w:sz w:val="16"/>
              <w:szCs w:val="16"/>
              <w:lang w:val="ro-RO"/>
            </w:rPr>
          </w:pPr>
          <w:r w:rsidRPr="00D85CFB">
            <w:rPr>
              <w:rFonts w:cs="Arial"/>
              <w:b/>
              <w:spacing w:val="-2"/>
              <w:sz w:val="16"/>
              <w:szCs w:val="16"/>
              <w:lang w:val="ro-RO"/>
            </w:rPr>
            <w:t xml:space="preserve">Capital Social subscris şi vărsat: </w:t>
          </w:r>
          <w:r w:rsidRPr="00D85CFB">
            <w:rPr>
              <w:rFonts w:cs="Arial"/>
              <w:b/>
              <w:sz w:val="16"/>
              <w:szCs w:val="16"/>
              <w:lang w:val="ro-RO"/>
            </w:rPr>
            <w:t>12.104.484RON,</w:t>
          </w:r>
        </w:p>
        <w:p w:rsidR="004D11EB" w:rsidRPr="00D85CFB" w:rsidRDefault="004D11EB" w:rsidP="00D85CFB">
          <w:pPr>
            <w:pStyle w:val="Header"/>
            <w:tabs>
              <w:tab w:val="left" w:pos="5503"/>
              <w:tab w:val="left" w:pos="6884"/>
              <w:tab w:val="left" w:pos="7309"/>
            </w:tabs>
            <w:rPr>
              <w:b/>
              <w:sz w:val="16"/>
              <w:szCs w:val="16"/>
              <w:lang w:val="ro-RO"/>
            </w:rPr>
          </w:pPr>
          <w:r w:rsidRPr="00D85CFB">
            <w:rPr>
              <w:b/>
              <w:sz w:val="16"/>
              <w:szCs w:val="16"/>
              <w:lang w:val="ro-RO"/>
            </w:rPr>
            <w:t xml:space="preserve">Cont BCR RON: </w:t>
          </w:r>
          <w:r w:rsidRPr="00D85CFB">
            <w:rPr>
              <w:rFonts w:cs="Arial"/>
              <w:b/>
              <w:sz w:val="16"/>
              <w:szCs w:val="16"/>
              <w:lang w:val="ro-RO"/>
            </w:rPr>
            <w:t xml:space="preserve">RO94 RNCB 0106 0266 1662 0001 </w:t>
          </w:r>
          <w:r w:rsidRPr="00D85CFB">
            <w:rPr>
              <w:b/>
              <w:sz w:val="16"/>
              <w:szCs w:val="16"/>
              <w:lang w:val="ro-RO"/>
            </w:rPr>
            <w:t>BCR Cluj-Napoca</w:t>
          </w:r>
        </w:p>
        <w:p w:rsidR="004D11EB" w:rsidRPr="00D85CFB" w:rsidRDefault="004D11EB" w:rsidP="00D85CFB">
          <w:pPr>
            <w:pStyle w:val="Header"/>
            <w:tabs>
              <w:tab w:val="left" w:pos="5503"/>
              <w:tab w:val="left" w:pos="6884"/>
              <w:tab w:val="left" w:pos="7309"/>
            </w:tabs>
            <w:rPr>
              <w:b/>
              <w:spacing w:val="-2"/>
              <w:sz w:val="16"/>
              <w:szCs w:val="16"/>
              <w:lang w:val="en-US"/>
            </w:rPr>
          </w:pPr>
          <w:r w:rsidRPr="00D85CFB">
            <w:rPr>
              <w:b/>
              <w:spacing w:val="-2"/>
              <w:sz w:val="16"/>
              <w:szCs w:val="16"/>
              <w:lang w:val="ro-RO"/>
            </w:rPr>
            <w:t xml:space="preserve">Cont BCR EUR:  </w:t>
          </w:r>
          <w:r w:rsidRPr="00D85CFB">
            <w:rPr>
              <w:b/>
              <w:spacing w:val="-2"/>
              <w:sz w:val="16"/>
              <w:szCs w:val="16"/>
              <w:lang w:val="en-US"/>
            </w:rPr>
            <w:t>RO67 RNCB 0106 0266 1662 0002  BCR Cluj-Napoca</w:t>
          </w:r>
        </w:p>
        <w:p w:rsidR="004D11EB" w:rsidRPr="00D85CFB" w:rsidRDefault="004D11EB" w:rsidP="00D85CFB">
          <w:pPr>
            <w:pStyle w:val="Header"/>
            <w:tabs>
              <w:tab w:val="left" w:pos="5503"/>
              <w:tab w:val="left" w:pos="6884"/>
              <w:tab w:val="left" w:pos="7309"/>
            </w:tabs>
            <w:rPr>
              <w:b/>
              <w:spacing w:val="-2"/>
              <w:sz w:val="16"/>
              <w:szCs w:val="16"/>
              <w:lang w:val="en-US"/>
            </w:rPr>
          </w:pPr>
          <w:r w:rsidRPr="00D85CFB">
            <w:rPr>
              <w:b/>
              <w:spacing w:val="-2"/>
              <w:sz w:val="16"/>
              <w:szCs w:val="16"/>
              <w:lang w:val="en-US"/>
            </w:rPr>
            <w:t>Cont BT RON:     RO</w:t>
          </w:r>
          <w:r w:rsidR="008D41F7">
            <w:rPr>
              <w:b/>
              <w:spacing w:val="-2"/>
              <w:sz w:val="16"/>
              <w:szCs w:val="16"/>
              <w:lang w:val="en-US"/>
            </w:rPr>
            <w:t>49</w:t>
          </w:r>
          <w:r w:rsidRPr="00D85CFB">
            <w:rPr>
              <w:b/>
              <w:spacing w:val="-2"/>
              <w:sz w:val="16"/>
              <w:szCs w:val="16"/>
              <w:lang w:val="en-US"/>
            </w:rPr>
            <w:t xml:space="preserve"> BTRL 0130 1202 9597 34XX  BT Cluj-Napoca</w:t>
          </w:r>
        </w:p>
        <w:p w:rsidR="004D11EB" w:rsidRPr="00D85CFB" w:rsidRDefault="004D11EB" w:rsidP="00D85CFB">
          <w:pPr>
            <w:pStyle w:val="Header"/>
            <w:tabs>
              <w:tab w:val="left" w:pos="5503"/>
              <w:tab w:val="left" w:pos="6884"/>
              <w:tab w:val="left" w:pos="7309"/>
            </w:tabs>
            <w:rPr>
              <w:b/>
              <w:spacing w:val="-2"/>
              <w:sz w:val="16"/>
              <w:szCs w:val="16"/>
              <w:lang w:val="en-US"/>
            </w:rPr>
          </w:pPr>
          <w:r w:rsidRPr="00D85CFB">
            <w:rPr>
              <w:b/>
              <w:spacing w:val="-2"/>
              <w:sz w:val="16"/>
              <w:szCs w:val="16"/>
              <w:lang w:val="en-US"/>
            </w:rPr>
            <w:t>Cont BT EUR:     RO36 BTRL EURC RT00 9597 3401 BT Cluj-Napoca</w:t>
          </w:r>
        </w:p>
        <w:p w:rsidR="004D11EB" w:rsidRPr="00D85CFB" w:rsidRDefault="004D11EB" w:rsidP="00D85CFB">
          <w:pPr>
            <w:pStyle w:val="Header"/>
            <w:tabs>
              <w:tab w:val="left" w:pos="5503"/>
              <w:tab w:val="left" w:pos="6884"/>
              <w:tab w:val="left" w:pos="7309"/>
            </w:tabs>
            <w:rPr>
              <w:b/>
              <w:spacing w:val="-2"/>
              <w:sz w:val="16"/>
              <w:szCs w:val="16"/>
              <w:lang w:val="en-US"/>
            </w:rPr>
          </w:pPr>
          <w:r w:rsidRPr="00D85CFB">
            <w:rPr>
              <w:b/>
              <w:spacing w:val="-2"/>
              <w:sz w:val="16"/>
              <w:szCs w:val="16"/>
              <w:lang w:val="en-US"/>
            </w:rPr>
            <w:t>Cont CEC RON: RO87 CECE CJ35 30RO  N091 9410 CEC Bank Cluj-Napoca</w:t>
          </w:r>
        </w:p>
      </w:tc>
      <w:tc>
        <w:tcPr>
          <w:tcW w:w="3080" w:type="dxa"/>
        </w:tcPr>
        <w:p w:rsidR="004D11EB" w:rsidRPr="00CB5BCC" w:rsidRDefault="00093638" w:rsidP="00141065">
          <w:pPr>
            <w:rPr>
              <w:sz w:val="20"/>
            </w:rPr>
          </w:pPr>
          <w:r>
            <w:rPr>
              <w:sz w:val="4"/>
              <w:szCs w:val="4"/>
            </w:rPr>
            <w:t xml:space="preserve">           </w:t>
          </w:r>
          <w:r w:rsidR="00732C71">
            <w:rPr>
              <w:noProof/>
              <w:sz w:val="4"/>
              <w:szCs w:val="4"/>
              <w:lang w:val="en-US" w:eastAsia="en-US"/>
            </w:rPr>
            <w:drawing>
              <wp:inline distT="0" distB="0" distL="0" distR="0">
                <wp:extent cx="648335" cy="948690"/>
                <wp:effectExtent l="19050" t="0" r="0" b="0"/>
                <wp:docPr id="2" name="Picture 2" descr="Sigla DEKRA ISO 1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la DEKRA ISO 14001"/>
                        <pic:cNvPicPr>
                          <a:picLocks noChangeAspect="1" noChangeArrowheads="1"/>
                        </pic:cNvPicPr>
                      </pic:nvPicPr>
                      <pic:blipFill>
                        <a:blip r:embed="rId2"/>
                        <a:srcRect/>
                        <a:stretch>
                          <a:fillRect/>
                        </a:stretch>
                      </pic:blipFill>
                      <pic:spPr bwMode="auto">
                        <a:xfrm>
                          <a:off x="0" y="0"/>
                          <a:ext cx="648335" cy="948690"/>
                        </a:xfrm>
                        <a:prstGeom prst="rect">
                          <a:avLst/>
                        </a:prstGeom>
                        <a:noFill/>
                        <a:ln w="9525">
                          <a:noFill/>
                          <a:miter lim="800000"/>
                          <a:headEnd/>
                          <a:tailEnd/>
                        </a:ln>
                      </pic:spPr>
                    </pic:pic>
                  </a:graphicData>
                </a:graphic>
              </wp:inline>
            </w:drawing>
          </w:r>
          <w:r w:rsidR="00CB5BCC">
            <w:rPr>
              <w:sz w:val="4"/>
              <w:szCs w:val="4"/>
            </w:rPr>
            <w:t xml:space="preserve">  </w:t>
          </w:r>
          <w:r>
            <w:rPr>
              <w:sz w:val="4"/>
              <w:szCs w:val="4"/>
            </w:rPr>
            <w:t xml:space="preserve">             </w:t>
          </w:r>
          <w:r w:rsidR="00CB5BCC">
            <w:rPr>
              <w:sz w:val="4"/>
              <w:szCs w:val="4"/>
            </w:rPr>
            <w:t xml:space="preserve">  </w:t>
          </w:r>
          <w:r w:rsidR="00732C71">
            <w:rPr>
              <w:noProof/>
              <w:sz w:val="4"/>
              <w:szCs w:val="4"/>
              <w:lang w:val="en-US" w:eastAsia="en-US"/>
            </w:rPr>
            <w:drawing>
              <wp:inline distT="0" distB="0" distL="0" distR="0">
                <wp:extent cx="668655" cy="95504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srcRect/>
                        <a:stretch>
                          <a:fillRect/>
                        </a:stretch>
                      </pic:blipFill>
                      <pic:spPr bwMode="auto">
                        <a:xfrm>
                          <a:off x="0" y="0"/>
                          <a:ext cx="668655" cy="955040"/>
                        </a:xfrm>
                        <a:prstGeom prst="rect">
                          <a:avLst/>
                        </a:prstGeom>
                        <a:noFill/>
                        <a:ln w="9525">
                          <a:noFill/>
                          <a:miter lim="800000"/>
                          <a:headEnd/>
                          <a:tailEnd/>
                        </a:ln>
                      </pic:spPr>
                    </pic:pic>
                  </a:graphicData>
                </a:graphic>
              </wp:inline>
            </w:drawing>
          </w:r>
        </w:p>
      </w:tc>
    </w:tr>
  </w:tbl>
  <w:p w:rsidR="00C904BD" w:rsidRPr="00E74A48" w:rsidRDefault="00C904BD" w:rsidP="00C904BD">
    <w:pPr>
      <w:rPr>
        <w:lang w:val="it-IT"/>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583D" w:rsidRDefault="0062583D">
      <w:r>
        <w:separator/>
      </w:r>
    </w:p>
  </w:footnote>
  <w:footnote w:type="continuationSeparator" w:id="1">
    <w:p w:rsidR="0062583D" w:rsidRDefault="006258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4BD" w:rsidRPr="00553B01" w:rsidRDefault="00C904BD">
    <w:pPr>
      <w:pStyle w:val="Header"/>
      <w:rPr>
        <w:sz w:val="4"/>
        <w:lang w:val="ro-RO"/>
      </w:rPr>
    </w:pPr>
  </w:p>
  <w:tbl>
    <w:tblPr>
      <w:tblW w:w="10456" w:type="dxa"/>
      <w:tblLook w:val="01E0"/>
    </w:tblPr>
    <w:tblGrid>
      <w:gridCol w:w="1384"/>
      <w:gridCol w:w="9072"/>
    </w:tblGrid>
    <w:tr w:rsidR="00C904BD" w:rsidRPr="00D85CFB" w:rsidTr="00D85CFB">
      <w:tc>
        <w:tcPr>
          <w:tcW w:w="10456" w:type="dxa"/>
          <w:gridSpan w:val="2"/>
        </w:tcPr>
        <w:p w:rsidR="00C904BD" w:rsidRPr="00D85CFB" w:rsidRDefault="00732C71" w:rsidP="00D85CFB">
          <w:pPr>
            <w:spacing w:before="40" w:after="40"/>
            <w:rPr>
              <w:rFonts w:ascii="Microsoft Sans Serif" w:hAnsi="Microsoft Sans Serif" w:cs="Microsoft Sans Serif"/>
              <w:color w:val="FF0000"/>
              <w:sz w:val="28"/>
              <w:szCs w:val="28"/>
              <w:lang w:val="ro-RO"/>
            </w:rPr>
          </w:pPr>
          <w:r>
            <w:rPr>
              <w:noProof/>
              <w:lang w:val="en-US" w:eastAsia="en-US"/>
            </w:rPr>
            <w:drawing>
              <wp:anchor distT="0" distB="0" distL="114300" distR="114300" simplePos="0" relativeHeight="251657728" behindDoc="1" locked="0" layoutInCell="1" allowOverlap="1">
                <wp:simplePos x="0" y="0"/>
                <wp:positionH relativeFrom="column">
                  <wp:posOffset>-15875</wp:posOffset>
                </wp:positionH>
                <wp:positionV relativeFrom="paragraph">
                  <wp:posOffset>33020</wp:posOffset>
                </wp:positionV>
                <wp:extent cx="6467475" cy="885825"/>
                <wp:effectExtent l="19050" t="0" r="9525" b="0"/>
                <wp:wrapNone/>
                <wp:docPr id="18" name="Picture 18" descr="scr3 r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cr3 rom"/>
                        <pic:cNvPicPr>
                          <a:picLocks noChangeAspect="1" noChangeArrowheads="1"/>
                        </pic:cNvPicPr>
                      </pic:nvPicPr>
                      <pic:blipFill>
                        <a:blip r:embed="rId1"/>
                        <a:srcRect/>
                        <a:stretch>
                          <a:fillRect/>
                        </a:stretch>
                      </pic:blipFill>
                      <pic:spPr bwMode="auto">
                        <a:xfrm>
                          <a:off x="0" y="0"/>
                          <a:ext cx="6467475" cy="885825"/>
                        </a:xfrm>
                        <a:prstGeom prst="rect">
                          <a:avLst/>
                        </a:prstGeom>
                        <a:noFill/>
                        <a:ln w="9525">
                          <a:noFill/>
                          <a:miter lim="800000"/>
                          <a:headEnd/>
                          <a:tailEnd/>
                        </a:ln>
                      </pic:spPr>
                    </pic:pic>
                  </a:graphicData>
                </a:graphic>
              </wp:anchor>
            </w:drawing>
          </w:r>
          <w:r w:rsidR="0006046B" w:rsidRPr="0006046B">
            <w:rPr>
              <w:rFonts w:ascii="Microsoft Sans Serif" w:hAnsi="Microsoft Sans Serif" w:cs="Microsoft Sans Serif"/>
              <w:noProof/>
              <w:color w:val="FF0000"/>
              <w:sz w:val="30"/>
              <w:szCs w:val="30"/>
              <w:lang w:val="en-US" w:eastAsia="en-US"/>
            </w:rPr>
            <w:pict>
              <v:line id="_x0000_s2052" style="position:absolute;flip:x;z-index:251656704;mso-position-horizontal-relative:text;mso-position-vertical-relative:text" from="104.35pt,16.15pt" to="420.85pt,16.15pt" strokecolor="red"/>
            </w:pict>
          </w:r>
          <w:r w:rsidR="00C904BD" w:rsidRPr="00D85CFB">
            <w:rPr>
              <w:rFonts w:ascii="Microsoft Sans Serif" w:hAnsi="Microsoft Sans Serif" w:cs="Microsoft Sans Serif"/>
              <w:b/>
              <w:color w:val="FF0000"/>
              <w:sz w:val="30"/>
              <w:szCs w:val="30"/>
              <w:lang w:val="ro-RO"/>
            </w:rPr>
            <w:t xml:space="preserve">                          </w:t>
          </w:r>
          <w:r w:rsidR="00C904BD" w:rsidRPr="00D85CFB">
            <w:rPr>
              <w:rFonts w:ascii="Microsoft Sans Serif" w:hAnsi="Microsoft Sans Serif" w:cs="Microsoft Sans Serif"/>
              <w:b/>
              <w:color w:val="FF0000"/>
              <w:sz w:val="4"/>
              <w:szCs w:val="4"/>
              <w:lang w:val="ro-RO"/>
            </w:rPr>
            <w:t xml:space="preserve"> </w:t>
          </w:r>
          <w:r w:rsidR="00C904BD" w:rsidRPr="00D85CFB">
            <w:rPr>
              <w:rFonts w:ascii="Microsoft Sans Serif" w:hAnsi="Microsoft Sans Serif" w:cs="Microsoft Sans Serif"/>
              <w:b/>
              <w:color w:val="FF0000"/>
              <w:sz w:val="28"/>
              <w:szCs w:val="28"/>
              <w:lang w:val="ro-RO"/>
            </w:rPr>
            <w:t>S.C. SINTEROM S.A. CLUJ-NAPOCA – ROMÂNIA</w:t>
          </w:r>
        </w:p>
      </w:tc>
    </w:tr>
    <w:tr w:rsidR="00C904BD" w:rsidRPr="00D85CFB" w:rsidTr="00D85CFB">
      <w:tc>
        <w:tcPr>
          <w:tcW w:w="1384" w:type="dxa"/>
        </w:tcPr>
        <w:p w:rsidR="00C904BD" w:rsidRPr="00D85CFB" w:rsidRDefault="00732C71" w:rsidP="003F1CBD">
          <w:pPr>
            <w:rPr>
              <w:sz w:val="26"/>
              <w:szCs w:val="26"/>
              <w:lang w:val="ro-RO"/>
            </w:rPr>
          </w:pPr>
          <w:r>
            <w:rPr>
              <w:noProof/>
              <w:lang w:val="en-US" w:eastAsia="en-US"/>
            </w:rPr>
            <w:drawing>
              <wp:anchor distT="0" distB="0" distL="114300" distR="114300" simplePos="0" relativeHeight="251658752" behindDoc="0" locked="0" layoutInCell="1" allowOverlap="1">
                <wp:simplePos x="0" y="0"/>
                <wp:positionH relativeFrom="column">
                  <wp:posOffset>-129540</wp:posOffset>
                </wp:positionH>
                <wp:positionV relativeFrom="paragraph">
                  <wp:posOffset>4445</wp:posOffset>
                </wp:positionV>
                <wp:extent cx="1400175" cy="450215"/>
                <wp:effectExtent l="19050" t="0" r="9525" b="0"/>
                <wp:wrapNone/>
                <wp:docPr id="19" name="Picture 19" descr="Sigla Sinter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igla Sinterom"/>
                        <pic:cNvPicPr>
                          <a:picLocks noChangeAspect="1" noChangeArrowheads="1"/>
                        </pic:cNvPicPr>
                      </pic:nvPicPr>
                      <pic:blipFill>
                        <a:blip r:embed="rId2"/>
                        <a:srcRect/>
                        <a:stretch>
                          <a:fillRect/>
                        </a:stretch>
                      </pic:blipFill>
                      <pic:spPr bwMode="auto">
                        <a:xfrm>
                          <a:off x="0" y="0"/>
                          <a:ext cx="1400175" cy="450215"/>
                        </a:xfrm>
                        <a:prstGeom prst="rect">
                          <a:avLst/>
                        </a:prstGeom>
                        <a:noFill/>
                        <a:ln w="9525">
                          <a:noFill/>
                          <a:miter lim="800000"/>
                          <a:headEnd/>
                          <a:tailEnd/>
                        </a:ln>
                      </pic:spPr>
                    </pic:pic>
                  </a:graphicData>
                </a:graphic>
              </wp:anchor>
            </w:drawing>
          </w:r>
        </w:p>
      </w:tc>
      <w:tc>
        <w:tcPr>
          <w:tcW w:w="9072" w:type="dxa"/>
        </w:tcPr>
        <w:p w:rsidR="00C904BD" w:rsidRPr="00D85CFB" w:rsidRDefault="00C904BD" w:rsidP="00D85CFB">
          <w:pPr>
            <w:pStyle w:val="Header"/>
            <w:tabs>
              <w:tab w:val="left" w:pos="6884"/>
              <w:tab w:val="left" w:pos="7309"/>
            </w:tabs>
            <w:snapToGrid w:val="0"/>
            <w:ind w:right="1309"/>
            <w:rPr>
              <w:sz w:val="6"/>
              <w:szCs w:val="6"/>
              <w:lang w:val="ro-RO"/>
            </w:rPr>
          </w:pPr>
        </w:p>
        <w:p w:rsidR="00C904BD" w:rsidRPr="00D85CFB" w:rsidRDefault="00C904BD" w:rsidP="00D85CFB">
          <w:pPr>
            <w:pStyle w:val="Header"/>
            <w:tabs>
              <w:tab w:val="left" w:pos="6884"/>
              <w:tab w:val="left" w:pos="7309"/>
            </w:tabs>
            <w:snapToGrid w:val="0"/>
            <w:ind w:left="743" w:right="1309"/>
            <w:rPr>
              <w:b/>
              <w:spacing w:val="-2"/>
              <w:sz w:val="17"/>
              <w:szCs w:val="17"/>
              <w:lang w:val="ro-RO"/>
            </w:rPr>
          </w:pPr>
          <w:r w:rsidRPr="00D85CFB">
            <w:rPr>
              <w:b/>
              <w:sz w:val="16"/>
              <w:szCs w:val="16"/>
            </w:rPr>
            <w:sym w:font="Wingdings" w:char="F02A"/>
          </w:r>
          <w:r w:rsidRPr="00D85CFB">
            <w:rPr>
              <w:b/>
              <w:sz w:val="16"/>
              <w:szCs w:val="16"/>
              <w:lang w:val="ro-RO"/>
            </w:rPr>
            <w:t xml:space="preserve">: </w:t>
          </w:r>
          <w:r w:rsidRPr="00D85CFB">
            <w:rPr>
              <w:b/>
              <w:spacing w:val="-2"/>
              <w:sz w:val="17"/>
              <w:szCs w:val="17"/>
              <w:lang w:val="ro-RO"/>
            </w:rPr>
            <w:t>B-dul Muncii, nr. 12, Cluj-Napoca - 400641, jud. Cluj,</w:t>
          </w:r>
        </w:p>
        <w:p w:rsidR="00C904BD" w:rsidRPr="00D85CFB" w:rsidRDefault="00C904BD" w:rsidP="00D85CFB">
          <w:pPr>
            <w:pStyle w:val="Header"/>
            <w:tabs>
              <w:tab w:val="left" w:pos="6884"/>
              <w:tab w:val="left" w:pos="7309"/>
            </w:tabs>
            <w:ind w:left="743" w:right="1309"/>
            <w:rPr>
              <w:b/>
              <w:spacing w:val="-2"/>
              <w:sz w:val="17"/>
              <w:szCs w:val="17"/>
              <w:lang w:val="ro-RO"/>
            </w:rPr>
          </w:pPr>
          <w:r w:rsidRPr="00D85CFB">
            <w:rPr>
              <w:b/>
              <w:spacing w:val="-2"/>
              <w:sz w:val="17"/>
              <w:szCs w:val="17"/>
              <w:lang w:val="ro-RO"/>
            </w:rPr>
            <w:t>Tel: 0264-415.074, 415.077, 415.080; Fax: 0264-415.076, 415.093,</w:t>
          </w:r>
        </w:p>
        <w:p w:rsidR="00C904BD" w:rsidRPr="00D85CFB" w:rsidRDefault="00C904BD" w:rsidP="00D85CFB">
          <w:pPr>
            <w:pStyle w:val="Header"/>
            <w:tabs>
              <w:tab w:val="left" w:pos="6884"/>
              <w:tab w:val="left" w:pos="7309"/>
            </w:tabs>
            <w:ind w:left="743" w:right="1309"/>
            <w:rPr>
              <w:sz w:val="17"/>
              <w:szCs w:val="17"/>
              <w:lang w:val="ro-RO"/>
            </w:rPr>
          </w:pPr>
          <w:r w:rsidRPr="00D85CFB">
            <w:rPr>
              <w:b/>
              <w:spacing w:val="-2"/>
              <w:sz w:val="17"/>
              <w:szCs w:val="17"/>
              <w:lang w:val="ro-RO"/>
            </w:rPr>
            <w:t xml:space="preserve">E-mail: sinterom@sinterom.ro, </w:t>
          </w:r>
          <w:hyperlink r:id="rId3" w:history="1">
            <w:r w:rsidRPr="00D85CFB">
              <w:rPr>
                <w:rStyle w:val="Hyperlink"/>
                <w:b/>
                <w:sz w:val="17"/>
                <w:szCs w:val="17"/>
                <w:lang w:val="ro-RO"/>
              </w:rPr>
              <w:t>www.sinterom.ro</w:t>
            </w:r>
          </w:hyperlink>
          <w:r w:rsidRPr="00D85CFB">
            <w:rPr>
              <w:b/>
              <w:sz w:val="17"/>
              <w:szCs w:val="17"/>
              <w:lang w:val="ro-RO"/>
            </w:rPr>
            <w:t xml:space="preserve">, </w:t>
          </w:r>
          <w:hyperlink r:id="rId4" w:history="1">
            <w:r w:rsidRPr="00D85CFB">
              <w:rPr>
                <w:rStyle w:val="Hyperlink"/>
                <w:b/>
                <w:color w:val="CC0000"/>
                <w:sz w:val="17"/>
                <w:szCs w:val="17"/>
                <w:lang w:val="ro-RO"/>
              </w:rPr>
              <w:t>www.scrgrup.ro</w:t>
            </w:r>
          </w:hyperlink>
          <w:r w:rsidRPr="00D85CFB">
            <w:rPr>
              <w:color w:val="CC0000"/>
              <w:sz w:val="17"/>
              <w:szCs w:val="17"/>
              <w:lang w:val="ro-RO"/>
            </w:rPr>
            <w:t xml:space="preserve"> </w:t>
          </w:r>
        </w:p>
        <w:p w:rsidR="00C904BD" w:rsidRPr="00D85CFB" w:rsidRDefault="00C904BD" w:rsidP="003F1CBD">
          <w:pPr>
            <w:rPr>
              <w:sz w:val="12"/>
              <w:szCs w:val="12"/>
              <w:lang w:val="ro-RO"/>
            </w:rPr>
          </w:pPr>
        </w:p>
      </w:tc>
    </w:tr>
  </w:tbl>
  <w:p w:rsidR="00C904BD" w:rsidRPr="00AC38CB" w:rsidRDefault="00C904BD" w:rsidP="00AC38CB">
    <w:pPr>
      <w:rPr>
        <w:sz w:val="26"/>
        <w:szCs w:val="26"/>
        <w:lang w:val="ro-RO"/>
      </w:rPr>
    </w:pPr>
  </w:p>
  <w:p w:rsidR="00C904BD" w:rsidRPr="00553B01" w:rsidRDefault="00C904BD">
    <w:pPr>
      <w:pStyle w:val="Header"/>
      <w:rPr>
        <w:sz w:val="4"/>
        <w:lang w:val="ro-RO"/>
      </w:rPr>
    </w:pPr>
  </w:p>
  <w:p w:rsidR="00C904BD" w:rsidRPr="00553B01" w:rsidRDefault="00C904BD">
    <w:pPr>
      <w:pStyle w:val="Header"/>
      <w:rPr>
        <w:sz w:val="4"/>
        <w:lang w:val="ro-RO"/>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8769A10"/>
    <w:lvl w:ilvl="0">
      <w:numFmt w:val="bullet"/>
      <w:lvlText w:val="*"/>
      <w:lvlJc w:val="left"/>
    </w:lvl>
  </w:abstractNum>
  <w:abstractNum w:abstractNumId="1">
    <w:nsid w:val="00000001"/>
    <w:multiLevelType w:val="multilevel"/>
    <w:tmpl w:val="00000001"/>
    <w:lvl w:ilvl="0">
      <w:start w:val="1"/>
      <w:numFmt w:val="none"/>
      <w:pStyle w:val="Heading1"/>
      <w:lvlText w:val=""/>
      <w:lvlJc w:val="left"/>
      <w:pPr>
        <w:tabs>
          <w:tab w:val="num" w:pos="432"/>
        </w:tabs>
      </w:pPr>
    </w:lvl>
    <w:lvl w:ilvl="1">
      <w:start w:val="1"/>
      <w:numFmt w:val="none"/>
      <w:pStyle w:val="Heading2"/>
      <w:lvlText w:val=""/>
      <w:lvlJc w:val="left"/>
      <w:pPr>
        <w:tabs>
          <w:tab w:val="num" w:pos="576"/>
        </w:tabs>
      </w:pPr>
    </w:lvl>
    <w:lvl w:ilvl="2">
      <w:start w:val="1"/>
      <w:numFmt w:val="none"/>
      <w:pStyle w:val="Heading3"/>
      <w:lvlText w:val=""/>
      <w:lvlJc w:val="left"/>
      <w:pPr>
        <w:tabs>
          <w:tab w:val="num" w:pos="720"/>
        </w:tabs>
      </w:pPr>
    </w:lvl>
    <w:lvl w:ilvl="3">
      <w:start w:val="1"/>
      <w:numFmt w:val="none"/>
      <w:lvlText w:val=""/>
      <w:lvlJc w:val="left"/>
      <w:pPr>
        <w:tabs>
          <w:tab w:val="num" w:pos="864"/>
        </w:tabs>
      </w:pPr>
    </w:lvl>
    <w:lvl w:ilvl="4">
      <w:start w:val="1"/>
      <w:numFmt w:val="none"/>
      <w:lvlText w:val=""/>
      <w:lvlJc w:val="left"/>
      <w:pPr>
        <w:tabs>
          <w:tab w:val="num" w:pos="1008"/>
        </w:tabs>
      </w:pPr>
    </w:lvl>
    <w:lvl w:ilvl="5">
      <w:start w:val="1"/>
      <w:numFmt w:val="none"/>
      <w:lvlText w:val=""/>
      <w:lvlJc w:val="left"/>
      <w:pPr>
        <w:tabs>
          <w:tab w:val="num" w:pos="1152"/>
        </w:tabs>
      </w:pPr>
    </w:lvl>
    <w:lvl w:ilvl="6">
      <w:start w:val="1"/>
      <w:numFmt w:val="none"/>
      <w:lvlText w:val=""/>
      <w:lvlJc w:val="left"/>
      <w:pPr>
        <w:tabs>
          <w:tab w:val="num" w:pos="1296"/>
        </w:tabs>
      </w:pPr>
    </w:lvl>
    <w:lvl w:ilvl="7">
      <w:start w:val="1"/>
      <w:numFmt w:val="none"/>
      <w:lvlText w:val=""/>
      <w:lvlJc w:val="left"/>
      <w:pPr>
        <w:tabs>
          <w:tab w:val="num" w:pos="1440"/>
        </w:tabs>
      </w:pPr>
    </w:lvl>
    <w:lvl w:ilvl="8">
      <w:start w:val="1"/>
      <w:numFmt w:val="none"/>
      <w:lvlText w:val=""/>
      <w:lvlJc w:val="left"/>
      <w:pPr>
        <w:tabs>
          <w:tab w:val="num" w:pos="1584"/>
        </w:tabs>
      </w:pPr>
    </w:lvl>
  </w:abstractNum>
  <w:abstractNum w:abstractNumId="2">
    <w:nsid w:val="05001154"/>
    <w:multiLevelType w:val="multilevel"/>
    <w:tmpl w:val="F7122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0D3172"/>
    <w:multiLevelType w:val="hybridMultilevel"/>
    <w:tmpl w:val="4664E03E"/>
    <w:lvl w:ilvl="0" w:tplc="304C4476">
      <w:start w:val="1"/>
      <w:numFmt w:val="lowerLetter"/>
      <w:lvlText w:val="%1."/>
      <w:lvlJc w:val="left"/>
      <w:pPr>
        <w:tabs>
          <w:tab w:val="num" w:pos="720"/>
        </w:tabs>
        <w:ind w:left="720" w:hanging="360"/>
      </w:pPr>
    </w:lvl>
    <w:lvl w:ilvl="1" w:tplc="C652E93A" w:tentative="1">
      <w:start w:val="1"/>
      <w:numFmt w:val="bullet"/>
      <w:lvlText w:val="o"/>
      <w:lvlJc w:val="left"/>
      <w:pPr>
        <w:tabs>
          <w:tab w:val="num" w:pos="1440"/>
        </w:tabs>
        <w:ind w:left="1440" w:hanging="360"/>
      </w:pPr>
      <w:rPr>
        <w:rFonts w:ascii="Courier New" w:hAnsi="Courier New" w:hint="default"/>
        <w:sz w:val="20"/>
      </w:rPr>
    </w:lvl>
    <w:lvl w:ilvl="2" w:tplc="03E26EDA" w:tentative="1">
      <w:start w:val="1"/>
      <w:numFmt w:val="bullet"/>
      <w:lvlText w:val=""/>
      <w:lvlJc w:val="left"/>
      <w:pPr>
        <w:tabs>
          <w:tab w:val="num" w:pos="2160"/>
        </w:tabs>
        <w:ind w:left="2160" w:hanging="360"/>
      </w:pPr>
      <w:rPr>
        <w:rFonts w:ascii="Wingdings" w:hAnsi="Wingdings" w:hint="default"/>
        <w:sz w:val="20"/>
      </w:rPr>
    </w:lvl>
    <w:lvl w:ilvl="3" w:tplc="00B6924A" w:tentative="1">
      <w:start w:val="1"/>
      <w:numFmt w:val="bullet"/>
      <w:lvlText w:val=""/>
      <w:lvlJc w:val="left"/>
      <w:pPr>
        <w:tabs>
          <w:tab w:val="num" w:pos="2880"/>
        </w:tabs>
        <w:ind w:left="2880" w:hanging="360"/>
      </w:pPr>
      <w:rPr>
        <w:rFonts w:ascii="Wingdings" w:hAnsi="Wingdings" w:hint="default"/>
        <w:sz w:val="20"/>
      </w:rPr>
    </w:lvl>
    <w:lvl w:ilvl="4" w:tplc="BD04B288" w:tentative="1">
      <w:start w:val="1"/>
      <w:numFmt w:val="bullet"/>
      <w:lvlText w:val=""/>
      <w:lvlJc w:val="left"/>
      <w:pPr>
        <w:tabs>
          <w:tab w:val="num" w:pos="3600"/>
        </w:tabs>
        <w:ind w:left="3600" w:hanging="360"/>
      </w:pPr>
      <w:rPr>
        <w:rFonts w:ascii="Wingdings" w:hAnsi="Wingdings" w:hint="default"/>
        <w:sz w:val="20"/>
      </w:rPr>
    </w:lvl>
    <w:lvl w:ilvl="5" w:tplc="AA4C96BA" w:tentative="1">
      <w:start w:val="1"/>
      <w:numFmt w:val="bullet"/>
      <w:lvlText w:val=""/>
      <w:lvlJc w:val="left"/>
      <w:pPr>
        <w:tabs>
          <w:tab w:val="num" w:pos="4320"/>
        </w:tabs>
        <w:ind w:left="4320" w:hanging="360"/>
      </w:pPr>
      <w:rPr>
        <w:rFonts w:ascii="Wingdings" w:hAnsi="Wingdings" w:hint="default"/>
        <w:sz w:val="20"/>
      </w:rPr>
    </w:lvl>
    <w:lvl w:ilvl="6" w:tplc="CDFA7338" w:tentative="1">
      <w:start w:val="1"/>
      <w:numFmt w:val="bullet"/>
      <w:lvlText w:val=""/>
      <w:lvlJc w:val="left"/>
      <w:pPr>
        <w:tabs>
          <w:tab w:val="num" w:pos="5040"/>
        </w:tabs>
        <w:ind w:left="5040" w:hanging="360"/>
      </w:pPr>
      <w:rPr>
        <w:rFonts w:ascii="Wingdings" w:hAnsi="Wingdings" w:hint="default"/>
        <w:sz w:val="20"/>
      </w:rPr>
    </w:lvl>
    <w:lvl w:ilvl="7" w:tplc="9C96A262" w:tentative="1">
      <w:start w:val="1"/>
      <w:numFmt w:val="bullet"/>
      <w:lvlText w:val=""/>
      <w:lvlJc w:val="left"/>
      <w:pPr>
        <w:tabs>
          <w:tab w:val="num" w:pos="5760"/>
        </w:tabs>
        <w:ind w:left="5760" w:hanging="360"/>
      </w:pPr>
      <w:rPr>
        <w:rFonts w:ascii="Wingdings" w:hAnsi="Wingdings" w:hint="default"/>
        <w:sz w:val="20"/>
      </w:rPr>
    </w:lvl>
    <w:lvl w:ilvl="8" w:tplc="0D0E4FA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631847"/>
    <w:multiLevelType w:val="multilevel"/>
    <w:tmpl w:val="07A214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39EC6448"/>
    <w:multiLevelType w:val="hybridMultilevel"/>
    <w:tmpl w:val="703AF28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B625B4F"/>
    <w:multiLevelType w:val="singleLevel"/>
    <w:tmpl w:val="20BE96AA"/>
    <w:lvl w:ilvl="0">
      <w:start w:val="1"/>
      <w:numFmt w:val="bullet"/>
      <w:lvlText w:val=""/>
      <w:lvlJc w:val="left"/>
      <w:pPr>
        <w:tabs>
          <w:tab w:val="num" w:pos="360"/>
        </w:tabs>
        <w:ind w:left="360" w:hanging="360"/>
      </w:pPr>
      <w:rPr>
        <w:rFonts w:ascii="Symbol" w:hAnsi="Symbol" w:hint="default"/>
      </w:rPr>
    </w:lvl>
  </w:abstractNum>
  <w:abstractNum w:abstractNumId="7">
    <w:nsid w:val="540D31AC"/>
    <w:multiLevelType w:val="hybridMultilevel"/>
    <w:tmpl w:val="1EACFAA0"/>
    <w:lvl w:ilvl="0" w:tplc="99164916">
      <w:start w:val="1"/>
      <w:numFmt w:val="upp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C554ED"/>
    <w:multiLevelType w:val="hybridMultilevel"/>
    <w:tmpl w:val="A65CB0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F282508"/>
    <w:multiLevelType w:val="hybridMultilevel"/>
    <w:tmpl w:val="9AA67A2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7A5722CC"/>
    <w:multiLevelType w:val="hybridMultilevel"/>
    <w:tmpl w:val="7C7E7244"/>
    <w:lvl w:ilvl="0" w:tplc="B3EE5828">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4"/>
  </w:num>
  <w:num w:numId="3">
    <w:abstractNumId w:val="2"/>
    <w:lvlOverride w:ilvl="0">
      <w:lvl w:ilvl="0">
        <w:numFmt w:val="bullet"/>
        <w:lvlText w:val="o"/>
        <w:lvlJc w:val="left"/>
        <w:pPr>
          <w:tabs>
            <w:tab w:val="num" w:pos="720"/>
          </w:tabs>
          <w:ind w:left="720" w:hanging="360"/>
        </w:pPr>
        <w:rPr>
          <w:rFonts w:ascii="Courier New" w:hAnsi="Courier New" w:hint="default"/>
          <w:sz w:val="20"/>
        </w:rPr>
      </w:lvl>
    </w:lvlOverride>
  </w:num>
  <w:num w:numId="4">
    <w:abstractNumId w:val="2"/>
    <w:lvlOverride w:ilvl="0">
      <w:startOverride w:val="16"/>
    </w:lvlOverride>
  </w:num>
  <w:num w:numId="5">
    <w:abstractNumId w:val="3"/>
    <w:lvlOverride w:ilvl="0">
      <w:startOverride w:val="17"/>
    </w:lvlOverride>
  </w:num>
  <w:num w:numId="6">
    <w:abstractNumId w:val="7"/>
  </w:num>
  <w:num w:numId="7">
    <w:abstractNumId w:val="10"/>
  </w:num>
  <w:num w:numId="8">
    <w:abstractNumId w:val="0"/>
    <w:lvlOverride w:ilvl="0">
      <w:lvl w:ilvl="0">
        <w:start w:val="65535"/>
        <w:numFmt w:val="bullet"/>
        <w:lvlText w:val="-"/>
        <w:legacy w:legacy="1" w:legacySpace="0" w:legacyIndent="144"/>
        <w:lvlJc w:val="left"/>
        <w:rPr>
          <w:rFonts w:ascii="Arial" w:hAnsi="Arial" w:cs="Arial" w:hint="default"/>
        </w:rPr>
      </w:lvl>
    </w:lvlOverride>
  </w:num>
  <w:num w:numId="9">
    <w:abstractNumId w:val="0"/>
    <w:lvlOverride w:ilvl="0">
      <w:lvl w:ilvl="0">
        <w:start w:val="65535"/>
        <w:numFmt w:val="bullet"/>
        <w:lvlText w:val="-"/>
        <w:legacy w:legacy="1" w:legacySpace="0" w:legacyIndent="339"/>
        <w:lvlJc w:val="left"/>
        <w:rPr>
          <w:rFonts w:ascii="Arial" w:hAnsi="Arial" w:cs="Arial" w:hint="default"/>
        </w:rPr>
      </w:lvl>
    </w:lvlOverride>
  </w:num>
  <w:num w:numId="10">
    <w:abstractNumId w:val="0"/>
    <w:lvlOverride w:ilvl="0">
      <w:lvl w:ilvl="0">
        <w:start w:val="65535"/>
        <w:numFmt w:val="bullet"/>
        <w:lvlText w:val="&gt;"/>
        <w:legacy w:legacy="1" w:legacySpace="0" w:legacyIndent="280"/>
        <w:lvlJc w:val="left"/>
        <w:rPr>
          <w:rFonts w:ascii="Arial" w:hAnsi="Arial" w:cs="Arial" w:hint="default"/>
        </w:rPr>
      </w:lvl>
    </w:lvlOverride>
  </w:num>
  <w:num w:numId="11">
    <w:abstractNumId w:val="8"/>
  </w:num>
  <w:num w:numId="12">
    <w:abstractNumId w:val="9"/>
  </w:num>
  <w:num w:numId="13">
    <w:abstractNumId w:val="6"/>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4">
      <o:colormru v:ext="edit" colors="#a50021"/>
    </o:shapedefaults>
    <o:shapelayout v:ext="edit">
      <o:idmap v:ext="edit" data="2"/>
    </o:shapelayout>
  </w:hdrShapeDefaults>
  <w:footnotePr>
    <w:footnote w:id="0"/>
    <w:footnote w:id="1"/>
  </w:footnotePr>
  <w:endnotePr>
    <w:endnote w:id="0"/>
    <w:endnote w:id="1"/>
  </w:endnotePr>
  <w:compat/>
  <w:rsids>
    <w:rsidRoot w:val="00626405"/>
    <w:rsid w:val="0006046B"/>
    <w:rsid w:val="0007110A"/>
    <w:rsid w:val="00072098"/>
    <w:rsid w:val="00081DDA"/>
    <w:rsid w:val="0009250C"/>
    <w:rsid w:val="00093638"/>
    <w:rsid w:val="000C6285"/>
    <w:rsid w:val="000F61A5"/>
    <w:rsid w:val="00141065"/>
    <w:rsid w:val="0014294A"/>
    <w:rsid w:val="00163724"/>
    <w:rsid w:val="00171B69"/>
    <w:rsid w:val="0018423E"/>
    <w:rsid w:val="001A6DD2"/>
    <w:rsid w:val="001D1ED8"/>
    <w:rsid w:val="00204DF8"/>
    <w:rsid w:val="0021446A"/>
    <w:rsid w:val="0024168D"/>
    <w:rsid w:val="0027387E"/>
    <w:rsid w:val="00295995"/>
    <w:rsid w:val="002964A1"/>
    <w:rsid w:val="002A20B2"/>
    <w:rsid w:val="002A5E83"/>
    <w:rsid w:val="002B443D"/>
    <w:rsid w:val="002F1715"/>
    <w:rsid w:val="00304985"/>
    <w:rsid w:val="00354683"/>
    <w:rsid w:val="00384CBC"/>
    <w:rsid w:val="003A3DB3"/>
    <w:rsid w:val="003A765E"/>
    <w:rsid w:val="003B2C82"/>
    <w:rsid w:val="003C02CF"/>
    <w:rsid w:val="003C4D6B"/>
    <w:rsid w:val="003E5DCB"/>
    <w:rsid w:val="003F1CBD"/>
    <w:rsid w:val="004015C2"/>
    <w:rsid w:val="0048638D"/>
    <w:rsid w:val="004C1149"/>
    <w:rsid w:val="004D11EB"/>
    <w:rsid w:val="004F2CDC"/>
    <w:rsid w:val="00553B01"/>
    <w:rsid w:val="0055410A"/>
    <w:rsid w:val="00573E14"/>
    <w:rsid w:val="005835E9"/>
    <w:rsid w:val="005C13FB"/>
    <w:rsid w:val="0062583D"/>
    <w:rsid w:val="00626405"/>
    <w:rsid w:val="00650C9C"/>
    <w:rsid w:val="006563ED"/>
    <w:rsid w:val="006566B6"/>
    <w:rsid w:val="00665667"/>
    <w:rsid w:val="00666724"/>
    <w:rsid w:val="00675B75"/>
    <w:rsid w:val="00675B91"/>
    <w:rsid w:val="00682F6C"/>
    <w:rsid w:val="006837A6"/>
    <w:rsid w:val="006A13F3"/>
    <w:rsid w:val="006D0E38"/>
    <w:rsid w:val="006E38CB"/>
    <w:rsid w:val="00705D79"/>
    <w:rsid w:val="0071049B"/>
    <w:rsid w:val="00721993"/>
    <w:rsid w:val="00732C71"/>
    <w:rsid w:val="007430C0"/>
    <w:rsid w:val="00772267"/>
    <w:rsid w:val="00772BD8"/>
    <w:rsid w:val="00776C42"/>
    <w:rsid w:val="007B26CD"/>
    <w:rsid w:val="007B4A01"/>
    <w:rsid w:val="007D2B6E"/>
    <w:rsid w:val="007F39B6"/>
    <w:rsid w:val="007F71B4"/>
    <w:rsid w:val="00822F0D"/>
    <w:rsid w:val="0084033D"/>
    <w:rsid w:val="0087139F"/>
    <w:rsid w:val="008A0580"/>
    <w:rsid w:val="008A33B3"/>
    <w:rsid w:val="008A50E6"/>
    <w:rsid w:val="008D41F7"/>
    <w:rsid w:val="008E3E2D"/>
    <w:rsid w:val="00953DD3"/>
    <w:rsid w:val="00954A36"/>
    <w:rsid w:val="009835DC"/>
    <w:rsid w:val="0098761C"/>
    <w:rsid w:val="009A48DA"/>
    <w:rsid w:val="009D14FF"/>
    <w:rsid w:val="009D56BA"/>
    <w:rsid w:val="00A06E6F"/>
    <w:rsid w:val="00A06F62"/>
    <w:rsid w:val="00A33052"/>
    <w:rsid w:val="00A5049C"/>
    <w:rsid w:val="00A60784"/>
    <w:rsid w:val="00A6079A"/>
    <w:rsid w:val="00AA2F70"/>
    <w:rsid w:val="00AA7A98"/>
    <w:rsid w:val="00AC38CB"/>
    <w:rsid w:val="00AC48AF"/>
    <w:rsid w:val="00AE199D"/>
    <w:rsid w:val="00AE1FEB"/>
    <w:rsid w:val="00AE2758"/>
    <w:rsid w:val="00AE412E"/>
    <w:rsid w:val="00B12896"/>
    <w:rsid w:val="00B32803"/>
    <w:rsid w:val="00B43D6E"/>
    <w:rsid w:val="00B55E07"/>
    <w:rsid w:val="00B701A2"/>
    <w:rsid w:val="00B83826"/>
    <w:rsid w:val="00B9415B"/>
    <w:rsid w:val="00B94533"/>
    <w:rsid w:val="00BA534B"/>
    <w:rsid w:val="00BB678F"/>
    <w:rsid w:val="00C24543"/>
    <w:rsid w:val="00C64CB6"/>
    <w:rsid w:val="00C73BCD"/>
    <w:rsid w:val="00C837BF"/>
    <w:rsid w:val="00C904BD"/>
    <w:rsid w:val="00CA4FEA"/>
    <w:rsid w:val="00CA623C"/>
    <w:rsid w:val="00CA6E97"/>
    <w:rsid w:val="00CA7B73"/>
    <w:rsid w:val="00CB0803"/>
    <w:rsid w:val="00CB0F89"/>
    <w:rsid w:val="00CB5BCC"/>
    <w:rsid w:val="00CC037D"/>
    <w:rsid w:val="00CE7770"/>
    <w:rsid w:val="00D02F1B"/>
    <w:rsid w:val="00D02F4E"/>
    <w:rsid w:val="00D13B69"/>
    <w:rsid w:val="00D33AC6"/>
    <w:rsid w:val="00D41BF2"/>
    <w:rsid w:val="00D43552"/>
    <w:rsid w:val="00D6287A"/>
    <w:rsid w:val="00D85CFB"/>
    <w:rsid w:val="00D93D9D"/>
    <w:rsid w:val="00DA2C77"/>
    <w:rsid w:val="00DA4B7B"/>
    <w:rsid w:val="00DC7517"/>
    <w:rsid w:val="00DE760F"/>
    <w:rsid w:val="00E0677F"/>
    <w:rsid w:val="00E13190"/>
    <w:rsid w:val="00E17068"/>
    <w:rsid w:val="00E17D5D"/>
    <w:rsid w:val="00E21948"/>
    <w:rsid w:val="00E26614"/>
    <w:rsid w:val="00E368EA"/>
    <w:rsid w:val="00E53FEC"/>
    <w:rsid w:val="00E7330E"/>
    <w:rsid w:val="00E74A48"/>
    <w:rsid w:val="00E82B0A"/>
    <w:rsid w:val="00E92DF7"/>
    <w:rsid w:val="00EA6FB8"/>
    <w:rsid w:val="00EB120A"/>
    <w:rsid w:val="00EC361D"/>
    <w:rsid w:val="00EC42CD"/>
    <w:rsid w:val="00ED6521"/>
    <w:rsid w:val="00EE1B27"/>
    <w:rsid w:val="00EF32C1"/>
    <w:rsid w:val="00F1211E"/>
    <w:rsid w:val="00F74F48"/>
    <w:rsid w:val="00F9425C"/>
    <w:rsid w:val="00FA30A1"/>
    <w:rsid w:val="00FC05ED"/>
    <w:rsid w:val="00FE67B6"/>
    <w:rsid w:val="00FF54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colormru v:ext="edit" colors="#a50021"/>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2C77"/>
    <w:pPr>
      <w:suppressAutoHyphens/>
    </w:pPr>
    <w:rPr>
      <w:rFonts w:ascii="Arial" w:hAnsi="Arial"/>
      <w:sz w:val="24"/>
      <w:lang w:val="en-GB" w:eastAsia="ar-SA"/>
    </w:rPr>
  </w:style>
  <w:style w:type="paragraph" w:styleId="Heading1">
    <w:name w:val="heading 1"/>
    <w:basedOn w:val="Normal"/>
    <w:next w:val="Normal"/>
    <w:qFormat/>
    <w:rsid w:val="00DA2C77"/>
    <w:pPr>
      <w:keepNext/>
      <w:numPr>
        <w:numId w:val="1"/>
      </w:numPr>
      <w:spacing w:line="360" w:lineRule="auto"/>
      <w:jc w:val="center"/>
      <w:outlineLvl w:val="0"/>
    </w:pPr>
    <w:rPr>
      <w:rFonts w:ascii="Futura Md BT" w:hAnsi="Futura Md BT"/>
      <w:b/>
      <w:caps/>
      <w:sz w:val="20"/>
    </w:rPr>
  </w:style>
  <w:style w:type="paragraph" w:styleId="Heading2">
    <w:name w:val="heading 2"/>
    <w:basedOn w:val="Normal"/>
    <w:next w:val="Normal"/>
    <w:qFormat/>
    <w:rsid w:val="00DA2C77"/>
    <w:pPr>
      <w:keepNext/>
      <w:numPr>
        <w:ilvl w:val="1"/>
        <w:numId w:val="1"/>
      </w:numPr>
      <w:jc w:val="center"/>
      <w:outlineLvl w:val="1"/>
    </w:pPr>
    <w:rPr>
      <w:rFonts w:ascii="Futura" w:hAnsi="Futura"/>
      <w:i/>
      <w:sz w:val="16"/>
    </w:rPr>
  </w:style>
  <w:style w:type="paragraph" w:styleId="Heading3">
    <w:name w:val="heading 3"/>
    <w:basedOn w:val="Normal"/>
    <w:next w:val="Normal"/>
    <w:qFormat/>
    <w:rsid w:val="00DA2C77"/>
    <w:pPr>
      <w:keepNext/>
      <w:numPr>
        <w:ilvl w:val="2"/>
        <w:numId w:val="1"/>
      </w:numPr>
      <w:outlineLvl w:val="2"/>
    </w:pPr>
    <w:rPr>
      <w:rFonts w:ascii="Times New Roman" w:hAnsi="Times New Roman"/>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DA2C77"/>
    <w:rPr>
      <w:rFonts w:ascii="Symbol" w:hAnsi="Symbol"/>
    </w:rPr>
  </w:style>
  <w:style w:type="character" w:customStyle="1" w:styleId="WW8Num3z0">
    <w:name w:val="WW8Num3z0"/>
    <w:rsid w:val="00DA2C77"/>
    <w:rPr>
      <w:rFonts w:ascii="Symbol" w:hAnsi="Symbol"/>
    </w:rPr>
  </w:style>
  <w:style w:type="character" w:styleId="Hyperlink">
    <w:name w:val="Hyperlink"/>
    <w:basedOn w:val="DefaultParagraphFont"/>
    <w:rsid w:val="00DA2C77"/>
    <w:rPr>
      <w:color w:val="0000FF"/>
      <w:u w:val="single"/>
    </w:rPr>
  </w:style>
  <w:style w:type="paragraph" w:customStyle="1" w:styleId="Heading">
    <w:name w:val="Heading"/>
    <w:basedOn w:val="Normal"/>
    <w:next w:val="BodyText"/>
    <w:rsid w:val="00DA2C77"/>
    <w:pPr>
      <w:keepNext/>
      <w:spacing w:before="240" w:after="120"/>
    </w:pPr>
    <w:rPr>
      <w:rFonts w:eastAsia="Lucida Sans Unicode" w:cs="Tahoma"/>
      <w:sz w:val="28"/>
      <w:szCs w:val="28"/>
    </w:rPr>
  </w:style>
  <w:style w:type="paragraph" w:styleId="BodyText">
    <w:name w:val="Body Text"/>
    <w:basedOn w:val="Normal"/>
    <w:link w:val="BodyTextChar"/>
    <w:rsid w:val="00DA2C77"/>
    <w:rPr>
      <w:b/>
      <w:sz w:val="20"/>
      <w:lang w:val="en-US"/>
    </w:rPr>
  </w:style>
  <w:style w:type="paragraph" w:styleId="List">
    <w:name w:val="List"/>
    <w:basedOn w:val="BodyText"/>
    <w:rsid w:val="00DA2C77"/>
    <w:rPr>
      <w:rFonts w:cs="Tahoma"/>
    </w:rPr>
  </w:style>
  <w:style w:type="paragraph" w:styleId="Caption">
    <w:name w:val="caption"/>
    <w:basedOn w:val="Normal"/>
    <w:qFormat/>
    <w:rsid w:val="00DA2C77"/>
    <w:pPr>
      <w:suppressLineNumbers/>
      <w:spacing w:before="120" w:after="120"/>
    </w:pPr>
    <w:rPr>
      <w:rFonts w:cs="Tahoma"/>
      <w:i/>
      <w:iCs/>
      <w:szCs w:val="24"/>
    </w:rPr>
  </w:style>
  <w:style w:type="paragraph" w:customStyle="1" w:styleId="Index">
    <w:name w:val="Index"/>
    <w:basedOn w:val="Normal"/>
    <w:rsid w:val="00DA2C77"/>
    <w:pPr>
      <w:suppressLineNumbers/>
    </w:pPr>
    <w:rPr>
      <w:rFonts w:cs="Tahoma"/>
    </w:rPr>
  </w:style>
  <w:style w:type="paragraph" w:styleId="Header">
    <w:name w:val="header"/>
    <w:basedOn w:val="Normal"/>
    <w:link w:val="HeaderChar"/>
    <w:uiPriority w:val="99"/>
    <w:rsid w:val="00DA2C77"/>
    <w:pPr>
      <w:tabs>
        <w:tab w:val="center" w:pos="4153"/>
        <w:tab w:val="right" w:pos="8306"/>
      </w:tabs>
    </w:pPr>
  </w:style>
  <w:style w:type="paragraph" w:styleId="Footer">
    <w:name w:val="footer"/>
    <w:basedOn w:val="Normal"/>
    <w:rsid w:val="00DA2C77"/>
    <w:pPr>
      <w:tabs>
        <w:tab w:val="center" w:pos="4153"/>
        <w:tab w:val="right" w:pos="8306"/>
      </w:tabs>
    </w:pPr>
  </w:style>
  <w:style w:type="paragraph" w:styleId="BodyText3">
    <w:name w:val="Body Text 3"/>
    <w:basedOn w:val="Normal"/>
    <w:rsid w:val="00DA2C77"/>
    <w:rPr>
      <w:rFonts w:ascii="Times New Roman" w:hAnsi="Times New Roman"/>
      <w:b/>
      <w:lang w:val="en-US"/>
    </w:rPr>
  </w:style>
  <w:style w:type="paragraph" w:styleId="BodyText2">
    <w:name w:val="Body Text 2"/>
    <w:basedOn w:val="Normal"/>
    <w:rsid w:val="00DA2C77"/>
    <w:rPr>
      <w:rFonts w:ascii="Times New Roman" w:hAnsi="Times New Roman"/>
      <w:sz w:val="28"/>
    </w:rPr>
  </w:style>
  <w:style w:type="paragraph" w:customStyle="1" w:styleId="TableContents">
    <w:name w:val="Table Contents"/>
    <w:basedOn w:val="Normal"/>
    <w:rsid w:val="00DA2C77"/>
    <w:pPr>
      <w:suppressLineNumbers/>
    </w:pPr>
  </w:style>
  <w:style w:type="paragraph" w:customStyle="1" w:styleId="TableHeading">
    <w:name w:val="Table Heading"/>
    <w:basedOn w:val="TableContents"/>
    <w:rsid w:val="00DA2C77"/>
    <w:pPr>
      <w:jc w:val="center"/>
    </w:pPr>
    <w:rPr>
      <w:b/>
      <w:bCs/>
    </w:rPr>
  </w:style>
  <w:style w:type="paragraph" w:styleId="BalloonText">
    <w:name w:val="Balloon Text"/>
    <w:basedOn w:val="Normal"/>
    <w:semiHidden/>
    <w:rsid w:val="00573E14"/>
    <w:rPr>
      <w:rFonts w:ascii="Tahoma" w:hAnsi="Tahoma" w:cs="Tahoma"/>
      <w:sz w:val="16"/>
      <w:szCs w:val="16"/>
    </w:rPr>
  </w:style>
  <w:style w:type="table" w:styleId="TableGrid">
    <w:name w:val="Table Grid"/>
    <w:basedOn w:val="TableNormal"/>
    <w:rsid w:val="005C13FB"/>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8E3E2D"/>
    <w:pPr>
      <w:suppressAutoHyphens w:val="0"/>
      <w:spacing w:before="100" w:beforeAutospacing="1" w:after="100" w:afterAutospacing="1"/>
    </w:pPr>
    <w:rPr>
      <w:rFonts w:ascii="Times New Roman" w:hAnsi="Times New Roman"/>
      <w:szCs w:val="24"/>
      <w:lang w:val="en-US" w:eastAsia="en-US"/>
    </w:rPr>
  </w:style>
  <w:style w:type="character" w:customStyle="1" w:styleId="HeaderChar">
    <w:name w:val="Header Char"/>
    <w:basedOn w:val="DefaultParagraphFont"/>
    <w:link w:val="Header"/>
    <w:uiPriority w:val="99"/>
    <w:rsid w:val="002964A1"/>
    <w:rPr>
      <w:rFonts w:ascii="Arial" w:hAnsi="Arial"/>
      <w:sz w:val="24"/>
      <w:lang w:val="en-GB" w:eastAsia="ar-SA"/>
    </w:rPr>
  </w:style>
  <w:style w:type="character" w:customStyle="1" w:styleId="BodyTextChar">
    <w:name w:val="Body Text Char"/>
    <w:basedOn w:val="DefaultParagraphFont"/>
    <w:link w:val="BodyText"/>
    <w:rsid w:val="00A5049C"/>
    <w:rPr>
      <w:rFonts w:ascii="Arial" w:hAnsi="Arial"/>
      <w:b/>
      <w:lang w:eastAsia="ar-SA"/>
    </w:rPr>
  </w:style>
  <w:style w:type="paragraph" w:styleId="HTMLPreformatted">
    <w:name w:val="HTML Preformatted"/>
    <w:basedOn w:val="Normal"/>
    <w:link w:val="HTMLPreformattedChar"/>
    <w:uiPriority w:val="99"/>
    <w:unhideWhenUsed/>
    <w:rsid w:val="00171B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lang w:val="en-US" w:eastAsia="en-US"/>
    </w:rPr>
  </w:style>
  <w:style w:type="character" w:customStyle="1" w:styleId="HTMLPreformattedChar">
    <w:name w:val="HTML Preformatted Char"/>
    <w:basedOn w:val="DefaultParagraphFont"/>
    <w:link w:val="HTMLPreformatted"/>
    <w:uiPriority w:val="99"/>
    <w:rsid w:val="00171B69"/>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hyperlink" Target="http://www.sinterom.ro" TargetMode="External"/><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hyperlink" Target="http://www.scrgrup.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2037</Words>
  <Characters>11611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ROMANICA</Company>
  <LinksUpToDate>false</LinksUpToDate>
  <CharactersWithSpaces>13621</CharactersWithSpaces>
  <SharedDoc>false</SharedDoc>
  <HLinks>
    <vt:vector size="12" baseType="variant">
      <vt:variant>
        <vt:i4>7667808</vt:i4>
      </vt:variant>
      <vt:variant>
        <vt:i4>3</vt:i4>
      </vt:variant>
      <vt:variant>
        <vt:i4>0</vt:i4>
      </vt:variant>
      <vt:variant>
        <vt:i4>5</vt:i4>
      </vt:variant>
      <vt:variant>
        <vt:lpwstr>http://www.scrgrup.ro/</vt:lpwstr>
      </vt:variant>
      <vt:variant>
        <vt:lpwstr/>
      </vt:variant>
      <vt:variant>
        <vt:i4>8192032</vt:i4>
      </vt:variant>
      <vt:variant>
        <vt:i4>0</vt:i4>
      </vt:variant>
      <vt:variant>
        <vt:i4>0</vt:i4>
      </vt:variant>
      <vt:variant>
        <vt:i4>5</vt:i4>
      </vt:variant>
      <vt:variant>
        <vt:lpwstr>http://www.sinterom.ro/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AQ</dc:creator>
  <cp:lastModifiedBy>user</cp:lastModifiedBy>
  <cp:revision>13</cp:revision>
  <cp:lastPrinted>2020-04-14T10:45:00Z</cp:lastPrinted>
  <dcterms:created xsi:type="dcterms:W3CDTF">2019-03-22T09:12:00Z</dcterms:created>
  <dcterms:modified xsi:type="dcterms:W3CDTF">2024-03-07T10:37:00Z</dcterms:modified>
</cp:coreProperties>
</file>